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5D526CD0" w:rsidR="00F16756" w:rsidRPr="00F30982" w:rsidRDefault="00F16756" w:rsidP="00405AB8">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2A2ED9">
        <w:rPr>
          <w:rFonts w:eastAsiaTheme="majorEastAsia" w:cstheme="minorHAnsi"/>
          <w:b/>
          <w:bCs/>
          <w:smallCaps/>
          <w:color w:val="4F81BD" w:themeColor="accent1"/>
          <w:spacing w:val="5"/>
          <w:sz w:val="28"/>
          <w:szCs w:val="28"/>
        </w:rPr>
        <w:t>3</w:t>
      </w:r>
      <w:r w:rsidR="00363F22">
        <w:rPr>
          <w:rFonts w:eastAsiaTheme="majorEastAsia" w:cstheme="minorHAnsi"/>
          <w:b/>
          <w:bCs/>
          <w:smallCaps/>
          <w:color w:val="4F81BD" w:themeColor="accent1"/>
          <w:spacing w:val="5"/>
          <w:sz w:val="28"/>
          <w:szCs w:val="28"/>
        </w:rPr>
        <w:t>2 Volunteer Management Community Portal</w:t>
      </w:r>
      <w:r w:rsidR="002A2ED9">
        <w:rPr>
          <w:rFonts w:eastAsiaTheme="majorEastAsia" w:cstheme="minorHAnsi"/>
          <w:b/>
          <w:bCs/>
          <w:smallCaps/>
          <w:color w:val="4F81BD" w:themeColor="accent1"/>
          <w:spacing w:val="5"/>
          <w:sz w:val="28"/>
          <w:szCs w:val="28"/>
        </w:rPr>
        <w:t xml:space="preserve"> </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2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07"/>
        <w:gridCol w:w="2018"/>
        <w:gridCol w:w="2194"/>
      </w:tblGrid>
      <w:tr w:rsidR="00C1364D" w:rsidRPr="00C1364D" w14:paraId="611F3E2E" w14:textId="77777777" w:rsidTr="00C1364D">
        <w:trPr>
          <w:trHeight w:val="644"/>
        </w:trPr>
        <w:tc>
          <w:tcPr>
            <w:tcW w:w="568" w:type="dxa"/>
            <w:shd w:val="clear" w:color="auto" w:fill="auto"/>
            <w:vAlign w:val="center"/>
            <w:hideMark/>
          </w:tcPr>
          <w:p w14:paraId="6E89ED4D" w14:textId="280A3B6E" w:rsidR="001D373F" w:rsidRPr="00C1364D" w:rsidRDefault="00814A32" w:rsidP="001D373F">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rPr>
              <w:t xml:space="preserve">Lot </w:t>
            </w:r>
            <w:r w:rsidR="001D373F" w:rsidRPr="00C1364D">
              <w:rPr>
                <w:rFonts w:eastAsia="Times New Roman" w:cstheme="minorHAnsi"/>
                <w:b/>
                <w:bCs/>
                <w:color w:val="000000" w:themeColor="text1"/>
                <w:sz w:val="24"/>
                <w:szCs w:val="24"/>
              </w:rPr>
              <w:t>No.</w:t>
            </w:r>
          </w:p>
        </w:tc>
        <w:tc>
          <w:tcPr>
            <w:tcW w:w="0" w:type="auto"/>
            <w:shd w:val="clear" w:color="auto" w:fill="auto"/>
            <w:vAlign w:val="center"/>
            <w:hideMark/>
          </w:tcPr>
          <w:p w14:paraId="3C61A37A" w14:textId="77777777" w:rsidR="001D373F" w:rsidRPr="00C1364D" w:rsidRDefault="001D373F" w:rsidP="001D373F">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rPr>
              <w:t>Lot description</w:t>
            </w:r>
          </w:p>
        </w:tc>
        <w:tc>
          <w:tcPr>
            <w:tcW w:w="2018" w:type="dxa"/>
            <w:shd w:val="clear" w:color="auto" w:fill="auto"/>
            <w:vAlign w:val="center"/>
            <w:hideMark/>
          </w:tcPr>
          <w:p w14:paraId="08C94695" w14:textId="42D4D318" w:rsidR="001D373F" w:rsidRPr="00C1364D" w:rsidRDefault="002F6FD0" w:rsidP="001D373F">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rPr>
              <w:t>Items per LOT</w:t>
            </w:r>
          </w:p>
        </w:tc>
        <w:tc>
          <w:tcPr>
            <w:tcW w:w="2194" w:type="dxa"/>
            <w:shd w:val="clear" w:color="auto" w:fill="auto"/>
            <w:vAlign w:val="center"/>
            <w:hideMark/>
          </w:tcPr>
          <w:p w14:paraId="2CA56BA4" w14:textId="77777777" w:rsidR="001D373F" w:rsidRPr="00C1364D" w:rsidRDefault="001D373F" w:rsidP="001D373F">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rPr>
              <w:t>Delivery Site</w:t>
            </w:r>
          </w:p>
        </w:tc>
      </w:tr>
      <w:tr w:rsidR="00C1364D" w:rsidRPr="00C1364D" w14:paraId="234E5F95" w14:textId="77777777" w:rsidTr="00C1364D">
        <w:trPr>
          <w:trHeight w:val="115"/>
        </w:trPr>
        <w:tc>
          <w:tcPr>
            <w:tcW w:w="568" w:type="dxa"/>
            <w:shd w:val="clear" w:color="auto" w:fill="auto"/>
            <w:noWrap/>
            <w:vAlign w:val="center"/>
            <w:hideMark/>
          </w:tcPr>
          <w:p w14:paraId="06A14F1E" w14:textId="0C2B953A" w:rsidR="00814A32" w:rsidRPr="00C1364D" w:rsidRDefault="00814A32" w:rsidP="00814A32">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lang w:val="en-US"/>
              </w:rPr>
              <w:t>1</w:t>
            </w:r>
          </w:p>
        </w:tc>
        <w:tc>
          <w:tcPr>
            <w:tcW w:w="0" w:type="auto"/>
            <w:shd w:val="clear" w:color="auto" w:fill="auto"/>
            <w:noWrap/>
            <w:vAlign w:val="center"/>
            <w:hideMark/>
          </w:tcPr>
          <w:p w14:paraId="7564F4A8" w14:textId="025C96D8" w:rsidR="00814A32" w:rsidRPr="00C1364D" w:rsidRDefault="00363F22" w:rsidP="00814A32">
            <w:pPr>
              <w:spacing w:after="0" w:line="240" w:lineRule="auto"/>
              <w:rPr>
                <w:rFonts w:eastAsia="Times New Roman" w:cstheme="minorHAnsi"/>
                <w:b/>
                <w:bCs/>
                <w:color w:val="000000" w:themeColor="text1"/>
                <w:sz w:val="24"/>
                <w:szCs w:val="24"/>
                <w:lang w:val="en-US"/>
              </w:rPr>
            </w:pPr>
            <w:r w:rsidRPr="00C1364D">
              <w:rPr>
                <w:rFonts w:eastAsiaTheme="majorEastAsia" w:cstheme="minorHAnsi"/>
                <w:b/>
                <w:bCs/>
                <w:smallCaps/>
                <w:color w:val="000000" w:themeColor="text1"/>
                <w:spacing w:val="5"/>
                <w:sz w:val="24"/>
                <w:szCs w:val="24"/>
              </w:rPr>
              <w:t>Volunteer Management Community Portal</w:t>
            </w:r>
          </w:p>
        </w:tc>
        <w:tc>
          <w:tcPr>
            <w:tcW w:w="2018" w:type="dxa"/>
            <w:shd w:val="clear" w:color="auto" w:fill="auto"/>
            <w:noWrap/>
            <w:vAlign w:val="center"/>
          </w:tcPr>
          <w:p w14:paraId="3D0ACB2A" w14:textId="61571A6D" w:rsidR="00814A32" w:rsidRPr="00C1364D" w:rsidRDefault="00C1364D" w:rsidP="00814A32">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lang w:val="en-US"/>
              </w:rPr>
              <w:t>1</w:t>
            </w:r>
          </w:p>
        </w:tc>
        <w:tc>
          <w:tcPr>
            <w:tcW w:w="2194" w:type="dxa"/>
            <w:shd w:val="clear" w:color="auto" w:fill="auto"/>
            <w:noWrap/>
            <w:vAlign w:val="center"/>
            <w:hideMark/>
          </w:tcPr>
          <w:p w14:paraId="6220E718" w14:textId="5043CA10" w:rsidR="00814A32" w:rsidRPr="00C1364D" w:rsidRDefault="00363F22" w:rsidP="00814A32">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lang w:val="en-US"/>
              </w:rPr>
              <w:t>Spear</w:t>
            </w:r>
          </w:p>
        </w:tc>
      </w:tr>
    </w:tbl>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2F6FD0">
        <w:trPr>
          <w:trHeight w:val="566"/>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43BEF071" w:rsidR="008B09A4" w:rsidRPr="00F30982" w:rsidRDefault="00954ECB" w:rsidP="00C1364D">
            <w:pPr>
              <w:spacing w:after="0" w:line="240" w:lineRule="auto"/>
              <w:jc w:val="both"/>
              <w:rPr>
                <w:rFonts w:cstheme="minorHAnsi"/>
              </w:rPr>
            </w:pPr>
            <w:r>
              <w:rPr>
                <w:rFonts w:cstheme="minorHAnsi"/>
              </w:rPr>
              <w:t>Monday 10</w:t>
            </w:r>
            <w:r w:rsidR="00814A32">
              <w:rPr>
                <w:rFonts w:cstheme="minorHAnsi"/>
              </w:rPr>
              <w:t xml:space="preserve"> June</w:t>
            </w:r>
            <w:r w:rsidR="00B06105">
              <w:rPr>
                <w:rFonts w:cstheme="minorHAnsi"/>
              </w:rPr>
              <w:t xml:space="preserve"> </w:t>
            </w:r>
            <w:r w:rsidR="00BA6BE7">
              <w:rPr>
                <w:rFonts w:cstheme="minorHAnsi"/>
              </w:rPr>
              <w:t>,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4D85B98E" w:rsidR="008B09A4" w:rsidRPr="00F30982" w:rsidRDefault="00C1364D" w:rsidP="00814A32">
            <w:pPr>
              <w:spacing w:after="0" w:line="240" w:lineRule="auto"/>
              <w:jc w:val="both"/>
              <w:rPr>
                <w:rFonts w:cstheme="minorHAnsi"/>
              </w:rPr>
            </w:pPr>
            <w:r>
              <w:rPr>
                <w:rFonts w:cstheme="minorHAnsi"/>
              </w:rPr>
              <w:t>05</w:t>
            </w:r>
            <w:r w:rsidR="00814A32">
              <w:rPr>
                <w:rFonts w:cstheme="minorHAnsi"/>
              </w:rPr>
              <w:t xml:space="preserve"> July </w:t>
            </w:r>
            <w:r w:rsidR="008B09A4" w:rsidRPr="00F30982">
              <w:rPr>
                <w:rFonts w:cstheme="minorHAnsi"/>
              </w:rPr>
              <w:t>202</w:t>
            </w:r>
            <w:r w:rsidR="00BA6BE7">
              <w:rPr>
                <w:rFonts w:cstheme="minorHAnsi"/>
              </w:rPr>
              <w:t>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C1364D">
        <w:trPr>
          <w:trHeight w:val="37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37562248" w:rsidR="008B09A4" w:rsidRPr="00F30982" w:rsidRDefault="00814A32" w:rsidP="00814A32">
            <w:pPr>
              <w:spacing w:after="0" w:line="240" w:lineRule="auto"/>
              <w:jc w:val="both"/>
              <w:rPr>
                <w:rFonts w:cstheme="minorHAnsi"/>
                <w:bCs/>
              </w:rPr>
            </w:pPr>
            <w:r>
              <w:rPr>
                <w:rFonts w:cstheme="minorHAnsi"/>
                <w:bCs/>
              </w:rPr>
              <w:t>19 June</w:t>
            </w:r>
            <w:r w:rsidR="001D373F">
              <w:rPr>
                <w:rFonts w:cstheme="minorHAnsi"/>
                <w:bCs/>
              </w:rPr>
              <w:t xml:space="preserve"> </w:t>
            </w:r>
            <w:r w:rsidR="00130EB0" w:rsidRPr="00F30982">
              <w:rPr>
                <w:rFonts w:cstheme="minorHAnsi"/>
                <w:bCs/>
              </w:rPr>
              <w:t>202</w:t>
            </w:r>
            <w:r w:rsidR="00BA6BE7">
              <w:rPr>
                <w:rFonts w:cstheme="minorHAnsi"/>
                <w:bCs/>
              </w:rPr>
              <w:t>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78512E64" w:rsidR="008B09A4" w:rsidRPr="00F30982" w:rsidRDefault="008B09A4" w:rsidP="00C1364D">
            <w:pPr>
              <w:spacing w:after="0" w:line="240" w:lineRule="auto"/>
              <w:jc w:val="both"/>
              <w:rPr>
                <w:rFonts w:cstheme="minorHAnsi"/>
                <w:b/>
                <w:bCs/>
              </w:rPr>
            </w:pPr>
            <w:r w:rsidRPr="00F30982">
              <w:rPr>
                <w:rFonts w:cstheme="minorHAnsi"/>
              </w:rPr>
              <w:t xml:space="preserve">Tender reference: </w:t>
            </w:r>
            <w:r w:rsidR="00640F11">
              <w:rPr>
                <w:rFonts w:cstheme="minorHAnsi"/>
                <w:b/>
                <w:bCs/>
              </w:rPr>
              <w:t>2024-0</w:t>
            </w:r>
            <w:r w:rsidR="00814A32">
              <w:rPr>
                <w:rFonts w:cstheme="minorHAnsi"/>
                <w:b/>
                <w:bCs/>
              </w:rPr>
              <w:t>3</w:t>
            </w:r>
            <w:r w:rsidR="00C1364D">
              <w:rPr>
                <w:rFonts w:cstheme="minorHAnsi"/>
                <w:b/>
                <w:bCs/>
              </w:rPr>
              <w:t>2</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814A32">
              <w:rPr>
                <w:rFonts w:cstheme="minorHAnsi"/>
                <w:b/>
              </w:rPr>
              <w:t>0</w:t>
            </w:r>
            <w:r w:rsidR="00C1364D">
              <w:rPr>
                <w:rFonts w:cstheme="minorHAnsi"/>
                <w:b/>
              </w:rPr>
              <w:t>5</w:t>
            </w:r>
            <w:r w:rsidR="00814A32">
              <w:rPr>
                <w:rFonts w:cstheme="minorHAnsi"/>
                <w:b/>
              </w:rPr>
              <w:t xml:space="preserve"> July</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766E0AA0" w:rsidR="004329BC" w:rsidRPr="00F30982" w:rsidRDefault="00B03F0D" w:rsidP="00C1364D">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1D373F">
        <w:rPr>
          <w:rFonts w:cstheme="minorHAnsi"/>
          <w:b/>
          <w:bCs/>
        </w:rPr>
        <w:t>2024-0</w:t>
      </w:r>
      <w:r w:rsidR="00814A32">
        <w:rPr>
          <w:rFonts w:cstheme="minorHAnsi"/>
          <w:b/>
          <w:bCs/>
        </w:rPr>
        <w:t>3</w:t>
      </w:r>
      <w:r w:rsidR="00C1364D">
        <w:rPr>
          <w:rFonts w:cstheme="minorHAnsi"/>
          <w:b/>
          <w:bCs/>
        </w:rPr>
        <w:t>2</w:t>
      </w:r>
      <w:r w:rsidR="00584AAF" w:rsidRPr="00F30982">
        <w:rPr>
          <w:rFonts w:cstheme="minorHAnsi"/>
          <w:b/>
          <w:bCs/>
        </w:rPr>
        <w:t xml:space="preserve"> </w:t>
      </w:r>
      <w:r w:rsidRPr="00F30982">
        <w:rPr>
          <w:rFonts w:cstheme="minorHAnsi"/>
        </w:rPr>
        <w:t>No other inscription should be included on this envelope.</w:t>
      </w:r>
    </w:p>
    <w:p w14:paraId="09D46BE3" w14:textId="27013229" w:rsidR="00BA0BB6" w:rsidRPr="00F30982" w:rsidRDefault="004329BC" w:rsidP="00C1364D">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w:t>
      </w:r>
      <w:r w:rsidR="00814A32">
        <w:rPr>
          <w:rFonts w:cstheme="minorHAnsi"/>
          <w:b/>
          <w:bCs/>
          <w:i/>
          <w:iCs/>
        </w:rPr>
        <w:t>3</w:t>
      </w:r>
      <w:r w:rsidR="00C1364D">
        <w:rPr>
          <w:rFonts w:cstheme="minorHAnsi"/>
          <w:b/>
          <w:bCs/>
          <w:i/>
          <w:iCs/>
        </w:rPr>
        <w:t>2</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6A2860">
      <w:pPr>
        <w:pStyle w:val="ListParagraph"/>
        <w:numPr>
          <w:ilvl w:val="0"/>
          <w:numId w:val="3"/>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36E5B74B"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Catalogue of each item is</w:t>
      </w:r>
      <w:r w:rsidR="00D960FB" w:rsidRPr="00D960FB">
        <w:rPr>
          <w:rFonts w:cstheme="minorHAnsi"/>
          <w:color w:val="000000" w:themeColor="text1"/>
        </w:rPr>
        <w:t xml:space="preserve"> mandatory to be submitted with the bid </w:t>
      </w:r>
    </w:p>
    <w:p w14:paraId="5063756E" w14:textId="0340C9C2"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Each datasheet/catalogue</w:t>
      </w:r>
      <w:r w:rsidR="00D960FB" w:rsidRPr="00D960FB">
        <w:rPr>
          <w:rFonts w:cstheme="minorHAnsi"/>
          <w:color w:val="000000" w:themeColor="text1"/>
        </w:rPr>
        <w:t xml:space="preserve"> should be labelled by the reference number only. </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lastRenderedPageBreak/>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35EE614D"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r w:rsidR="00381C27">
              <w:rPr>
                <w:rFonts w:cs="Times New Roman"/>
                <w:sz w:val="20"/>
                <w:szCs w:val="20"/>
                <w:lang w:bidi="ar-LB"/>
              </w:rPr>
              <w:t>Commercial Circular</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lastRenderedPageBreak/>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4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1518"/>
        <w:gridCol w:w="1202"/>
      </w:tblGrid>
      <w:tr w:rsidR="00D14107" w:rsidRPr="00F30982" w14:paraId="520C80C5" w14:textId="77777777" w:rsidTr="00BC1169">
        <w:trPr>
          <w:trHeight w:val="459"/>
        </w:trPr>
        <w:tc>
          <w:tcPr>
            <w:tcW w:w="7690" w:type="dxa"/>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518" w:type="dxa"/>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202" w:type="dxa"/>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BC1169">
        <w:trPr>
          <w:trHeight w:val="479"/>
        </w:trPr>
        <w:tc>
          <w:tcPr>
            <w:tcW w:w="7690" w:type="dxa"/>
            <w:shd w:val="clear" w:color="auto" w:fill="auto"/>
            <w:vAlign w:val="center"/>
          </w:tcPr>
          <w:p w14:paraId="0611DE5A" w14:textId="1D8DC8CC" w:rsidR="0042023F" w:rsidRPr="00405AB8" w:rsidRDefault="00E3579F" w:rsidP="00405AB8">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rPr>
              <w:t>Awa</w:t>
            </w:r>
            <w:r w:rsidR="00EC24D8" w:rsidRPr="00017191">
              <w:rPr>
                <w:rFonts w:cstheme="minorHAnsi"/>
                <w:sz w:val="20"/>
                <w:szCs w:val="20"/>
              </w:rPr>
              <w:t xml:space="preserve">rded Bidder(s) must commit to </w:t>
            </w:r>
            <w:r w:rsidR="00405AB8">
              <w:rPr>
                <w:rFonts w:cstheme="minorHAnsi"/>
                <w:sz w:val="20"/>
                <w:szCs w:val="20"/>
                <w:lang w:val="en-US"/>
              </w:rPr>
              <w:t>the duration of the implementation (this means that the prices will be fixed without any changes)</w:t>
            </w:r>
          </w:p>
        </w:tc>
        <w:tc>
          <w:tcPr>
            <w:tcW w:w="1518" w:type="dxa"/>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BC1169">
        <w:trPr>
          <w:trHeight w:val="479"/>
        </w:trPr>
        <w:tc>
          <w:tcPr>
            <w:tcW w:w="7690" w:type="dxa"/>
            <w:shd w:val="clear" w:color="auto" w:fill="auto"/>
            <w:vAlign w:val="center"/>
          </w:tcPr>
          <w:p w14:paraId="15D9571B" w14:textId="77777777"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b/>
                <w:bCs/>
                <w:sz w:val="20"/>
                <w:szCs w:val="20"/>
                <w:u w:val="single"/>
                <w:lang w:val="en-US"/>
              </w:rPr>
              <w:t xml:space="preserve">LRC Payment term: </w:t>
            </w:r>
          </w:p>
          <w:p w14:paraId="4DEF5F14" w14:textId="77777777" w:rsidR="00E3579F" w:rsidRPr="00017191" w:rsidRDefault="00E3579F" w:rsidP="00E3579F">
            <w:pPr>
              <w:autoSpaceDE w:val="0"/>
              <w:autoSpaceDN w:val="0"/>
              <w:adjustRightInd w:val="0"/>
              <w:spacing w:after="0" w:line="240" w:lineRule="auto"/>
              <w:rPr>
                <w:rFonts w:cstheme="minorHAnsi"/>
                <w:sz w:val="20"/>
                <w:szCs w:val="20"/>
              </w:rPr>
            </w:pPr>
            <w:r w:rsidRPr="00017191">
              <w:rPr>
                <w:rFonts w:cstheme="minorHAnsi"/>
                <w:sz w:val="20"/>
                <w:szCs w:val="20"/>
                <w:lang w:val="en-US"/>
              </w:rPr>
              <w:t xml:space="preserve">LRC will pay in Fresh Transfer USD, within </w:t>
            </w:r>
            <w:r w:rsidRPr="00017191">
              <w:rPr>
                <w:rFonts w:cstheme="minorHAnsi"/>
                <w:sz w:val="20"/>
                <w:szCs w:val="20"/>
              </w:rPr>
              <w:t>30-45 calendar days after the submission of all required documentation (invoice GRN….)</w:t>
            </w:r>
          </w:p>
          <w:p w14:paraId="7C27831D" w14:textId="731F6BE9"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lang w:val="en-US"/>
              </w:rPr>
              <w:t xml:space="preserve">And the VAT amount will be paid in Cheque LBP </w:t>
            </w:r>
            <w:r w:rsidRPr="00017191">
              <w:rPr>
                <w:rFonts w:cstheme="minorHAnsi"/>
                <w:i/>
                <w:iCs/>
                <w:color w:val="000000" w:themeColor="text1"/>
                <w:sz w:val="20"/>
                <w:szCs w:val="20"/>
                <w:lang w:val="en-US"/>
              </w:rPr>
              <w:t>–Sayrafa rate, and the advance payments are not applicable</w:t>
            </w:r>
            <w:r w:rsidRPr="00017191">
              <w:rPr>
                <w:rFonts w:cstheme="minorHAnsi"/>
                <w:sz w:val="20"/>
                <w:szCs w:val="20"/>
                <w:lang w:val="en-US"/>
              </w:rPr>
              <w:t xml:space="preserve"> </w:t>
            </w:r>
          </w:p>
        </w:tc>
        <w:tc>
          <w:tcPr>
            <w:tcW w:w="1518" w:type="dxa"/>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BC1169">
        <w:trPr>
          <w:trHeight w:val="182"/>
        </w:trPr>
        <w:tc>
          <w:tcPr>
            <w:tcW w:w="7690" w:type="dxa"/>
            <w:shd w:val="clear" w:color="auto" w:fill="auto"/>
            <w:vAlign w:val="bottom"/>
            <w:hideMark/>
          </w:tcPr>
          <w:p w14:paraId="15F1741A" w14:textId="27F9BDC7" w:rsidR="00391BF3" w:rsidRPr="00017191" w:rsidRDefault="002722DD" w:rsidP="00391BF3">
            <w:pPr>
              <w:autoSpaceDE w:val="0"/>
              <w:autoSpaceDN w:val="0"/>
              <w:adjustRightInd w:val="0"/>
              <w:spacing w:after="0" w:line="240" w:lineRule="auto"/>
              <w:jc w:val="both"/>
              <w:rPr>
                <w:rFonts w:cstheme="minorHAnsi"/>
                <w:b/>
                <w:bCs/>
                <w:sz w:val="20"/>
                <w:szCs w:val="20"/>
                <w:u w:val="single"/>
                <w:rtl/>
                <w:lang w:val="en-US" w:bidi="ar-LB"/>
              </w:rPr>
            </w:pPr>
            <w:r w:rsidRPr="00017191">
              <w:rPr>
                <w:rFonts w:cstheme="minorHAnsi"/>
                <w:b/>
                <w:bCs/>
                <w:sz w:val="20"/>
                <w:szCs w:val="20"/>
                <w:u w:val="single"/>
              </w:rPr>
              <w:t>Bid validity for evaluation</w:t>
            </w:r>
            <w:r w:rsidR="00391BF3" w:rsidRPr="00017191">
              <w:rPr>
                <w:rFonts w:cstheme="minorHAnsi"/>
                <w:b/>
                <w:bCs/>
                <w:sz w:val="20"/>
                <w:szCs w:val="20"/>
                <w:u w:val="single"/>
                <w:lang w:val="en-US"/>
              </w:rPr>
              <w:t>:</w:t>
            </w:r>
          </w:p>
          <w:p w14:paraId="65386B76" w14:textId="4B123E6B" w:rsidR="00D14107" w:rsidRPr="00017191" w:rsidRDefault="00391BF3" w:rsidP="00391BF3">
            <w:pPr>
              <w:autoSpaceDE w:val="0"/>
              <w:autoSpaceDN w:val="0"/>
              <w:adjustRightInd w:val="0"/>
              <w:spacing w:after="0" w:line="240" w:lineRule="auto"/>
              <w:jc w:val="both"/>
              <w:rPr>
                <w:rFonts w:cstheme="minorHAnsi"/>
                <w:sz w:val="20"/>
                <w:szCs w:val="20"/>
                <w:lang w:val="en-US"/>
              </w:rPr>
            </w:pPr>
            <w:r w:rsidRPr="00017191">
              <w:rPr>
                <w:rFonts w:cstheme="minorHAnsi"/>
                <w:sz w:val="20"/>
                <w:szCs w:val="20"/>
              </w:rPr>
              <w:t>Bids shall remain valid for a period of three (3) calendar months from the deadline for the receipt of bids</w:t>
            </w:r>
          </w:p>
        </w:tc>
        <w:tc>
          <w:tcPr>
            <w:tcW w:w="1518" w:type="dxa"/>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BC1169">
        <w:trPr>
          <w:trHeight w:val="479"/>
        </w:trPr>
        <w:tc>
          <w:tcPr>
            <w:tcW w:w="7690" w:type="dxa"/>
            <w:shd w:val="clear" w:color="auto" w:fill="auto"/>
            <w:vAlign w:val="bottom"/>
            <w:hideMark/>
          </w:tcPr>
          <w:p w14:paraId="23A5291E" w14:textId="77777777" w:rsidR="00914177" w:rsidRPr="00017191" w:rsidRDefault="00914177" w:rsidP="00914177">
            <w:pPr>
              <w:autoSpaceDE w:val="0"/>
              <w:autoSpaceDN w:val="0"/>
              <w:adjustRightInd w:val="0"/>
              <w:spacing w:after="0" w:line="240" w:lineRule="auto"/>
              <w:jc w:val="both"/>
              <w:rPr>
                <w:rFonts w:cstheme="minorHAnsi"/>
                <w:b/>
                <w:bCs/>
                <w:sz w:val="20"/>
                <w:szCs w:val="20"/>
                <w:u w:val="single"/>
              </w:rPr>
            </w:pPr>
            <w:r w:rsidRPr="00017191">
              <w:rPr>
                <w:rFonts w:cstheme="minorHAnsi"/>
                <w:b/>
                <w:bCs/>
                <w:sz w:val="20"/>
                <w:szCs w:val="20"/>
                <w:u w:val="single"/>
              </w:rPr>
              <w:t xml:space="preserve">Delivery terms: </w:t>
            </w:r>
          </w:p>
          <w:p w14:paraId="584DC0A8" w14:textId="77777777" w:rsidR="00D14107" w:rsidRPr="00017191" w:rsidRDefault="00EE1188" w:rsidP="00FA0256">
            <w:pPr>
              <w:autoSpaceDE w:val="0"/>
              <w:autoSpaceDN w:val="0"/>
              <w:adjustRightInd w:val="0"/>
              <w:spacing w:after="0" w:line="240" w:lineRule="auto"/>
              <w:jc w:val="both"/>
              <w:rPr>
                <w:rFonts w:cstheme="minorHAnsi"/>
                <w:sz w:val="20"/>
                <w:szCs w:val="20"/>
              </w:rPr>
            </w:pPr>
            <w:r w:rsidRPr="00017191">
              <w:rPr>
                <w:rFonts w:cstheme="minorHAnsi"/>
                <w:sz w:val="20"/>
                <w:szCs w:val="20"/>
              </w:rPr>
              <w:t>The Delivery is Partial and Not Complete</w:t>
            </w:r>
            <w:r w:rsidR="00832893" w:rsidRPr="00017191">
              <w:rPr>
                <w:rFonts w:cstheme="minorHAnsi"/>
                <w:sz w:val="20"/>
                <w:szCs w:val="20"/>
              </w:rPr>
              <w:t xml:space="preserve"> </w:t>
            </w:r>
          </w:p>
          <w:p w14:paraId="4D27868C" w14:textId="082AF8CB" w:rsidR="00832893" w:rsidRPr="00017191" w:rsidRDefault="00832893" w:rsidP="00832893">
            <w:pPr>
              <w:autoSpaceDE w:val="0"/>
              <w:autoSpaceDN w:val="0"/>
              <w:adjustRightInd w:val="0"/>
              <w:spacing w:after="0" w:line="240" w:lineRule="auto"/>
              <w:jc w:val="both"/>
              <w:rPr>
                <w:rFonts w:cstheme="minorHAnsi"/>
                <w:i/>
                <w:iCs/>
                <w:sz w:val="20"/>
                <w:szCs w:val="20"/>
                <w:lang w:val="en-US"/>
              </w:rPr>
            </w:pPr>
            <w:r w:rsidRPr="00017191">
              <w:rPr>
                <w:rFonts w:cstheme="minorHAnsi"/>
                <w:i/>
                <w:iCs/>
                <w:color w:val="FF0000"/>
                <w:sz w:val="20"/>
                <w:szCs w:val="20"/>
              </w:rPr>
              <w:t>N.B: LRC reserves the right to request the delivery of even a single piece to any of the locations specified in this tender.</w:t>
            </w:r>
          </w:p>
        </w:tc>
        <w:tc>
          <w:tcPr>
            <w:tcW w:w="1518" w:type="dxa"/>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C173D9" w:rsidRPr="00F30982" w14:paraId="6334E2B4" w14:textId="77777777" w:rsidTr="00BC1169">
        <w:trPr>
          <w:trHeight w:val="323"/>
        </w:trPr>
        <w:tc>
          <w:tcPr>
            <w:tcW w:w="7690" w:type="dxa"/>
            <w:shd w:val="clear" w:color="auto" w:fill="auto"/>
            <w:vAlign w:val="bottom"/>
          </w:tcPr>
          <w:p w14:paraId="2788F632" w14:textId="28EDBEF2"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Bidder is responsible for the details and requirements mentioned in the Annexed TOR</w:t>
            </w:r>
          </w:p>
        </w:tc>
        <w:tc>
          <w:tcPr>
            <w:tcW w:w="1518" w:type="dxa"/>
            <w:shd w:val="clear" w:color="auto" w:fill="auto"/>
          </w:tcPr>
          <w:p w14:paraId="4C59B33B" w14:textId="23847848" w:rsidR="00C173D9" w:rsidRPr="00F30982" w:rsidRDefault="00C173D9" w:rsidP="00C173D9">
            <w:pPr>
              <w:autoSpaceDE w:val="0"/>
              <w:autoSpaceDN w:val="0"/>
              <w:adjustRightInd w:val="0"/>
              <w:spacing w:after="0" w:line="240" w:lineRule="auto"/>
              <w:jc w:val="center"/>
              <w:rPr>
                <w:rFonts w:ascii="Segoe UI Symbol" w:hAnsi="Segoe UI Symbol" w:cs="Segoe UI Symbol"/>
                <w:lang w:val="en-US"/>
              </w:rPr>
            </w:pPr>
            <w:r w:rsidRPr="00B4335B">
              <w:rPr>
                <w:rFonts w:ascii="Segoe UI Symbol" w:hAnsi="Segoe UI Symbol" w:cs="Segoe UI Symbol"/>
                <w:lang w:val="en-US"/>
              </w:rPr>
              <w:t>☐</w:t>
            </w:r>
            <w:r w:rsidRPr="00B4335B">
              <w:rPr>
                <w:rFonts w:cstheme="minorHAnsi"/>
                <w:lang w:val="en-US"/>
              </w:rPr>
              <w:t xml:space="preserve"> Yes   </w:t>
            </w:r>
            <w:r w:rsidRPr="00B4335B">
              <w:rPr>
                <w:rFonts w:ascii="Segoe UI Symbol" w:hAnsi="Segoe UI Symbol" w:cs="Segoe UI Symbol"/>
                <w:lang w:val="en-US"/>
              </w:rPr>
              <w:t>☐</w:t>
            </w:r>
            <w:r w:rsidRPr="00B4335B">
              <w:rPr>
                <w:rFonts w:cstheme="minorHAnsi"/>
                <w:lang w:val="en-US"/>
              </w:rPr>
              <w:t xml:space="preserve"> No</w:t>
            </w:r>
          </w:p>
        </w:tc>
        <w:tc>
          <w:tcPr>
            <w:tcW w:w="1202" w:type="dxa"/>
            <w:shd w:val="clear" w:color="auto" w:fill="auto"/>
            <w:noWrap/>
            <w:vAlign w:val="bottom"/>
          </w:tcPr>
          <w:p w14:paraId="283DBAD2"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C173D9" w:rsidRPr="00F30982" w14:paraId="510C8D68" w14:textId="77777777" w:rsidTr="00BC1169">
        <w:trPr>
          <w:trHeight w:val="479"/>
        </w:trPr>
        <w:tc>
          <w:tcPr>
            <w:tcW w:w="7690" w:type="dxa"/>
            <w:shd w:val="clear" w:color="auto" w:fill="auto"/>
            <w:vAlign w:val="bottom"/>
          </w:tcPr>
          <w:p w14:paraId="67E80CE9" w14:textId="25FF311F"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 xml:space="preserve">Bidder must submit all the details mentioned in Proposal Submission List  Appendix A labelled with the same reference numbers </w:t>
            </w:r>
          </w:p>
        </w:tc>
        <w:tc>
          <w:tcPr>
            <w:tcW w:w="1518" w:type="dxa"/>
            <w:shd w:val="clear" w:color="auto" w:fill="auto"/>
          </w:tcPr>
          <w:p w14:paraId="4C4427E7" w14:textId="2C072DC3" w:rsidR="00C173D9" w:rsidRPr="00F30982" w:rsidRDefault="00C173D9" w:rsidP="00C173D9">
            <w:pPr>
              <w:autoSpaceDE w:val="0"/>
              <w:autoSpaceDN w:val="0"/>
              <w:adjustRightInd w:val="0"/>
              <w:spacing w:after="0" w:line="240" w:lineRule="auto"/>
              <w:jc w:val="center"/>
              <w:rPr>
                <w:rFonts w:ascii="Segoe UI Symbol" w:hAnsi="Segoe UI Symbol" w:cs="Segoe UI Symbol"/>
                <w:lang w:val="en-US"/>
              </w:rPr>
            </w:pPr>
            <w:r w:rsidRPr="00B4335B">
              <w:rPr>
                <w:rFonts w:ascii="Segoe UI Symbol" w:hAnsi="Segoe UI Symbol" w:cs="Segoe UI Symbol"/>
                <w:lang w:val="en-US"/>
              </w:rPr>
              <w:t>☐</w:t>
            </w:r>
            <w:r w:rsidRPr="00B4335B">
              <w:rPr>
                <w:rFonts w:cstheme="minorHAnsi"/>
                <w:lang w:val="en-US"/>
              </w:rPr>
              <w:t xml:space="preserve"> Yes   </w:t>
            </w:r>
            <w:r w:rsidRPr="00B4335B">
              <w:rPr>
                <w:rFonts w:ascii="Segoe UI Symbol" w:hAnsi="Segoe UI Symbol" w:cs="Segoe UI Symbol"/>
                <w:lang w:val="en-US"/>
              </w:rPr>
              <w:t>☐</w:t>
            </w:r>
            <w:r w:rsidRPr="00B4335B">
              <w:rPr>
                <w:rFonts w:cstheme="minorHAnsi"/>
                <w:lang w:val="en-US"/>
              </w:rPr>
              <w:t xml:space="preserve"> No</w:t>
            </w:r>
          </w:p>
        </w:tc>
        <w:tc>
          <w:tcPr>
            <w:tcW w:w="1202" w:type="dxa"/>
            <w:shd w:val="clear" w:color="auto" w:fill="auto"/>
            <w:noWrap/>
            <w:vAlign w:val="bottom"/>
          </w:tcPr>
          <w:p w14:paraId="6DBB99EA"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C173D9" w:rsidRPr="00F30982" w14:paraId="12CC6298" w14:textId="77777777" w:rsidTr="00BC1169">
        <w:trPr>
          <w:trHeight w:val="479"/>
        </w:trPr>
        <w:tc>
          <w:tcPr>
            <w:tcW w:w="7690" w:type="dxa"/>
            <w:shd w:val="clear" w:color="auto" w:fill="auto"/>
            <w:vAlign w:val="bottom"/>
          </w:tcPr>
          <w:p w14:paraId="7E0816A9" w14:textId="7F5CAEE0"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Bidder is responsible to submit all the supporting document to support their Technical evaluation reference to the Criteria Evaluation table Appendix B</w:t>
            </w:r>
          </w:p>
        </w:tc>
        <w:tc>
          <w:tcPr>
            <w:tcW w:w="1518" w:type="dxa"/>
            <w:shd w:val="clear" w:color="auto" w:fill="auto"/>
          </w:tcPr>
          <w:p w14:paraId="175A4F0D" w14:textId="2A734FE2" w:rsidR="00C173D9" w:rsidRPr="00220458" w:rsidRDefault="00C173D9" w:rsidP="00C173D9">
            <w:pPr>
              <w:autoSpaceDE w:val="0"/>
              <w:autoSpaceDN w:val="0"/>
              <w:adjustRightInd w:val="0"/>
              <w:spacing w:after="0" w:line="240" w:lineRule="auto"/>
              <w:jc w:val="center"/>
              <w:rPr>
                <w:rFonts w:ascii="Segoe UI Symbol" w:hAnsi="Segoe UI Symbol" w:cs="Segoe UI Symbol"/>
                <w:lang w:val="en-US"/>
              </w:rPr>
            </w:pPr>
            <w:r w:rsidRPr="00B4335B">
              <w:rPr>
                <w:rFonts w:ascii="Segoe UI Symbol" w:hAnsi="Segoe UI Symbol" w:cs="Segoe UI Symbol"/>
                <w:lang w:val="en-US"/>
              </w:rPr>
              <w:t>☐</w:t>
            </w:r>
            <w:r w:rsidRPr="00B4335B">
              <w:rPr>
                <w:rFonts w:cstheme="minorHAnsi"/>
                <w:lang w:val="en-US"/>
              </w:rPr>
              <w:t xml:space="preserve"> Yes   </w:t>
            </w:r>
            <w:r w:rsidRPr="00B4335B">
              <w:rPr>
                <w:rFonts w:ascii="Segoe UI Symbol" w:hAnsi="Segoe UI Symbol" w:cs="Segoe UI Symbol"/>
                <w:lang w:val="en-US"/>
              </w:rPr>
              <w:t>☐</w:t>
            </w:r>
            <w:r w:rsidRPr="00B4335B">
              <w:rPr>
                <w:rFonts w:cstheme="minorHAnsi"/>
                <w:lang w:val="en-US"/>
              </w:rPr>
              <w:t xml:space="preserve"> No</w:t>
            </w:r>
          </w:p>
        </w:tc>
        <w:tc>
          <w:tcPr>
            <w:tcW w:w="1202" w:type="dxa"/>
            <w:shd w:val="clear" w:color="auto" w:fill="auto"/>
            <w:noWrap/>
            <w:vAlign w:val="bottom"/>
          </w:tcPr>
          <w:p w14:paraId="7E9770B9"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C173D9" w:rsidRPr="00F30982" w14:paraId="5FBCBD88" w14:textId="77777777" w:rsidTr="00BC1169">
        <w:trPr>
          <w:trHeight w:val="479"/>
        </w:trPr>
        <w:tc>
          <w:tcPr>
            <w:tcW w:w="7690" w:type="dxa"/>
            <w:shd w:val="clear" w:color="auto" w:fill="auto"/>
            <w:vAlign w:val="bottom"/>
          </w:tcPr>
          <w:p w14:paraId="0C98E286" w14:textId="59638DB7"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Bidder must sign the whole TOR</w:t>
            </w:r>
          </w:p>
        </w:tc>
        <w:tc>
          <w:tcPr>
            <w:tcW w:w="1518" w:type="dxa"/>
            <w:shd w:val="clear" w:color="auto" w:fill="auto"/>
          </w:tcPr>
          <w:p w14:paraId="6036E826" w14:textId="7338723A" w:rsidR="00C173D9" w:rsidRPr="00220458" w:rsidRDefault="00C173D9" w:rsidP="00C173D9">
            <w:pPr>
              <w:autoSpaceDE w:val="0"/>
              <w:autoSpaceDN w:val="0"/>
              <w:adjustRightInd w:val="0"/>
              <w:spacing w:after="0" w:line="240" w:lineRule="auto"/>
              <w:jc w:val="center"/>
              <w:rPr>
                <w:rFonts w:ascii="Segoe UI Symbol" w:hAnsi="Segoe UI Symbol" w:cs="Segoe UI Symbol"/>
                <w:lang w:val="en-US"/>
              </w:rPr>
            </w:pPr>
            <w:r w:rsidRPr="000F506C">
              <w:rPr>
                <w:rFonts w:ascii="Segoe UI Symbol" w:hAnsi="Segoe UI Symbol" w:cs="Segoe UI Symbol"/>
                <w:lang w:val="en-US"/>
              </w:rPr>
              <w:t>☐</w:t>
            </w:r>
            <w:r w:rsidRPr="000F506C">
              <w:rPr>
                <w:rFonts w:cstheme="minorHAnsi"/>
                <w:lang w:val="en-US"/>
              </w:rPr>
              <w:t xml:space="preserve"> Yes   </w:t>
            </w:r>
            <w:r w:rsidRPr="000F506C">
              <w:rPr>
                <w:rFonts w:ascii="Segoe UI Symbol" w:hAnsi="Segoe UI Symbol" w:cs="Segoe UI Symbol"/>
                <w:lang w:val="en-US"/>
              </w:rPr>
              <w:t>☐</w:t>
            </w:r>
            <w:r w:rsidRPr="000F506C">
              <w:rPr>
                <w:rFonts w:cstheme="minorHAnsi"/>
                <w:lang w:val="en-US"/>
              </w:rPr>
              <w:t xml:space="preserve"> No</w:t>
            </w:r>
          </w:p>
        </w:tc>
        <w:tc>
          <w:tcPr>
            <w:tcW w:w="1202" w:type="dxa"/>
            <w:shd w:val="clear" w:color="auto" w:fill="auto"/>
            <w:noWrap/>
            <w:vAlign w:val="bottom"/>
          </w:tcPr>
          <w:p w14:paraId="3574DFDC"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C173D9" w:rsidRPr="00F30982" w14:paraId="43390599" w14:textId="77777777" w:rsidTr="00BC1169">
        <w:trPr>
          <w:trHeight w:val="479"/>
        </w:trPr>
        <w:tc>
          <w:tcPr>
            <w:tcW w:w="7690" w:type="dxa"/>
            <w:shd w:val="clear" w:color="auto" w:fill="auto"/>
            <w:vAlign w:val="bottom"/>
          </w:tcPr>
          <w:p w14:paraId="6A06CE29" w14:textId="40ADB96C"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Appendix C (NDA) is an essential requirement to be approved, signed and stamped</w:t>
            </w:r>
          </w:p>
        </w:tc>
        <w:tc>
          <w:tcPr>
            <w:tcW w:w="1518" w:type="dxa"/>
            <w:shd w:val="clear" w:color="auto" w:fill="auto"/>
          </w:tcPr>
          <w:p w14:paraId="221FFA5A" w14:textId="0AEA31F8" w:rsidR="00C173D9" w:rsidRPr="00220458" w:rsidRDefault="00A40F00" w:rsidP="00C173D9">
            <w:pPr>
              <w:autoSpaceDE w:val="0"/>
              <w:autoSpaceDN w:val="0"/>
              <w:adjustRightInd w:val="0"/>
              <w:spacing w:after="0" w:line="240" w:lineRule="auto"/>
              <w:jc w:val="center"/>
              <w:rPr>
                <w:rFonts w:ascii="Segoe UI Symbol" w:hAnsi="Segoe UI Symbol" w:cs="Segoe UI Symbol"/>
                <w:lang w:val="en-US"/>
              </w:rPr>
            </w:pPr>
            <w:r w:rsidRPr="000F506C">
              <w:rPr>
                <w:rFonts w:ascii="Segoe UI Symbol" w:hAnsi="Segoe UI Symbol" w:cs="Segoe UI Symbol"/>
                <w:lang w:val="en-US"/>
              </w:rPr>
              <w:t>☐</w:t>
            </w:r>
            <w:r w:rsidRPr="000F506C">
              <w:rPr>
                <w:rFonts w:cstheme="minorHAnsi"/>
                <w:lang w:val="en-US"/>
              </w:rPr>
              <w:t xml:space="preserve"> Yes   </w:t>
            </w:r>
            <w:r w:rsidRPr="000F506C">
              <w:rPr>
                <w:rFonts w:ascii="Segoe UI Symbol" w:hAnsi="Segoe UI Symbol" w:cs="Segoe UI Symbol"/>
                <w:lang w:val="en-US"/>
              </w:rPr>
              <w:t>☐</w:t>
            </w:r>
            <w:r w:rsidRPr="000F506C">
              <w:rPr>
                <w:rFonts w:cstheme="minorHAnsi"/>
                <w:lang w:val="en-US"/>
              </w:rPr>
              <w:t xml:space="preserve"> No</w:t>
            </w:r>
          </w:p>
        </w:tc>
        <w:tc>
          <w:tcPr>
            <w:tcW w:w="1202" w:type="dxa"/>
            <w:shd w:val="clear" w:color="auto" w:fill="auto"/>
            <w:noWrap/>
            <w:vAlign w:val="bottom"/>
          </w:tcPr>
          <w:p w14:paraId="3FD4010C"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A40F00" w:rsidRPr="00F30982" w14:paraId="00D1B3FE" w14:textId="77777777" w:rsidTr="00BC1169">
        <w:trPr>
          <w:trHeight w:val="479"/>
        </w:trPr>
        <w:tc>
          <w:tcPr>
            <w:tcW w:w="7690" w:type="dxa"/>
            <w:shd w:val="clear" w:color="auto" w:fill="auto"/>
            <w:vAlign w:val="bottom"/>
          </w:tcPr>
          <w:p w14:paraId="4C239BB4" w14:textId="07667874" w:rsidR="00A40F00" w:rsidRDefault="00A40F00"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 xml:space="preserve">Bid Offer must be submitted as per Annex 2 (Page 11); no other templates are accepted </w:t>
            </w:r>
          </w:p>
        </w:tc>
        <w:tc>
          <w:tcPr>
            <w:tcW w:w="1518" w:type="dxa"/>
            <w:shd w:val="clear" w:color="auto" w:fill="auto"/>
          </w:tcPr>
          <w:p w14:paraId="0D193591" w14:textId="530EEB33" w:rsidR="00A40F00" w:rsidRPr="000F506C" w:rsidRDefault="00A40F00" w:rsidP="00C173D9">
            <w:pPr>
              <w:autoSpaceDE w:val="0"/>
              <w:autoSpaceDN w:val="0"/>
              <w:adjustRightInd w:val="0"/>
              <w:spacing w:after="0" w:line="240" w:lineRule="auto"/>
              <w:jc w:val="center"/>
              <w:rPr>
                <w:rFonts w:ascii="Segoe UI Symbol" w:hAnsi="Segoe UI Symbol" w:cs="Segoe UI Symbol"/>
                <w:lang w:val="en-US"/>
              </w:rPr>
            </w:pPr>
            <w:r w:rsidRPr="000F506C">
              <w:rPr>
                <w:rFonts w:ascii="Segoe UI Symbol" w:hAnsi="Segoe UI Symbol" w:cs="Segoe UI Symbol"/>
                <w:lang w:val="en-US"/>
              </w:rPr>
              <w:t>☐</w:t>
            </w:r>
            <w:r w:rsidRPr="000F506C">
              <w:rPr>
                <w:rFonts w:cstheme="minorHAnsi"/>
                <w:lang w:val="en-US"/>
              </w:rPr>
              <w:t xml:space="preserve"> Yes   </w:t>
            </w:r>
            <w:r w:rsidRPr="000F506C">
              <w:rPr>
                <w:rFonts w:ascii="Segoe UI Symbol" w:hAnsi="Segoe UI Symbol" w:cs="Segoe UI Symbol"/>
                <w:lang w:val="en-US"/>
              </w:rPr>
              <w:t>☐</w:t>
            </w:r>
            <w:r w:rsidRPr="000F506C">
              <w:rPr>
                <w:rFonts w:cstheme="minorHAnsi"/>
                <w:lang w:val="en-US"/>
              </w:rPr>
              <w:t xml:space="preserve"> No</w:t>
            </w:r>
          </w:p>
        </w:tc>
        <w:tc>
          <w:tcPr>
            <w:tcW w:w="1202" w:type="dxa"/>
            <w:shd w:val="clear" w:color="auto" w:fill="auto"/>
            <w:noWrap/>
            <w:vAlign w:val="bottom"/>
          </w:tcPr>
          <w:p w14:paraId="1B28A1BE" w14:textId="77777777" w:rsidR="00A40F00" w:rsidRPr="00F30982" w:rsidRDefault="00A40F00" w:rsidP="00C173D9">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15729627" w14:textId="77777777" w:rsidR="00AC0F0D" w:rsidRDefault="00D86896" w:rsidP="00640F11">
      <w:pPr>
        <w:autoSpaceDE w:val="0"/>
        <w:autoSpaceDN w:val="0"/>
        <w:adjustRightInd w:val="0"/>
        <w:spacing w:after="0" w:line="240" w:lineRule="auto"/>
        <w:jc w:val="both"/>
        <w:rPr>
          <w:rFonts w:cstheme="minorHAnsi"/>
          <w:b/>
          <w:bCs/>
          <w:i/>
          <w:iCs/>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 xml:space="preserve">the awarded bidder will be contracted to </w:t>
      </w:r>
      <w:r w:rsidR="00640F11">
        <w:rPr>
          <w:rFonts w:cstheme="minorHAnsi"/>
          <w:b/>
          <w:bCs/>
          <w:i/>
          <w:iCs/>
          <w:lang w:val="en-US"/>
        </w:rPr>
        <w:t>one year</w:t>
      </w:r>
    </w:p>
    <w:p w14:paraId="47262EAD" w14:textId="42320EE7" w:rsidR="007072E0" w:rsidRPr="00F30982" w:rsidRDefault="003F332C" w:rsidP="00640F11">
      <w:pPr>
        <w:autoSpaceDE w:val="0"/>
        <w:autoSpaceDN w:val="0"/>
        <w:adjustRightInd w:val="0"/>
        <w:spacing w:after="0" w:line="240" w:lineRule="auto"/>
        <w:jc w:val="both"/>
        <w:rPr>
          <w:rFonts w:cstheme="minorHAnsi"/>
          <w:lang w:val="en-US"/>
        </w:rPr>
      </w:pPr>
      <w:r w:rsidRPr="003F332C">
        <w:rPr>
          <w:rFonts w:cstheme="minorHAnsi"/>
          <w:b/>
          <w:bCs/>
          <w:i/>
          <w:iCs/>
          <w:lang w:val="en-US"/>
        </w:rPr>
        <w:t xml:space="preserve">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lastRenderedPageBreak/>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1F20FCAF" w:rsidR="00D078DF" w:rsidRPr="00F30982" w:rsidRDefault="001B77F3" w:rsidP="00C173D9">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3F4EC6">
        <w:rPr>
          <w:rFonts w:cstheme="minorHAnsi"/>
          <w:b/>
          <w:i/>
          <w:iCs/>
          <w:sz w:val="20"/>
          <w:szCs w:val="20"/>
          <w:highlight w:val="yellow"/>
        </w:rPr>
        <w:t>2024-</w:t>
      </w:r>
      <w:r w:rsidR="00BC1169">
        <w:rPr>
          <w:rFonts w:cstheme="minorHAnsi"/>
          <w:b/>
          <w:i/>
          <w:iCs/>
          <w:sz w:val="20"/>
          <w:szCs w:val="20"/>
          <w:highlight w:val="yellow"/>
        </w:rPr>
        <w:t>03</w:t>
      </w:r>
      <w:r w:rsidR="00C173D9">
        <w:rPr>
          <w:rFonts w:cstheme="minorHAnsi"/>
          <w:b/>
          <w:i/>
          <w:iCs/>
          <w:sz w:val="20"/>
          <w:szCs w:val="20"/>
          <w:highlight w:val="yellow"/>
        </w:rPr>
        <w:t>2</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BC1169">
        <w:rPr>
          <w:rFonts w:cstheme="minorHAnsi"/>
          <w:b/>
          <w:i/>
          <w:iCs/>
          <w:sz w:val="20"/>
          <w:szCs w:val="20"/>
          <w:highlight w:val="yellow"/>
        </w:rPr>
        <w:t>0</w:t>
      </w:r>
      <w:r w:rsidR="00C173D9">
        <w:rPr>
          <w:rFonts w:cstheme="minorHAnsi"/>
          <w:b/>
          <w:i/>
          <w:iCs/>
          <w:sz w:val="20"/>
          <w:szCs w:val="20"/>
          <w:highlight w:val="yellow"/>
        </w:rPr>
        <w:t>5</w:t>
      </w:r>
      <w:r w:rsidR="00BC1169">
        <w:rPr>
          <w:rFonts w:cstheme="minorHAnsi"/>
          <w:b/>
          <w:i/>
          <w:iCs/>
          <w:sz w:val="20"/>
          <w:szCs w:val="20"/>
          <w:highlight w:val="yellow"/>
        </w:rPr>
        <w:t xml:space="preserve"> July</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lastRenderedPageBreak/>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lastRenderedPageBreak/>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lastRenderedPageBreak/>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27C17EF9" w:rsidR="00EE1188" w:rsidRDefault="00EE1188" w:rsidP="00620B13">
      <w:pPr>
        <w:autoSpaceDE w:val="0"/>
        <w:autoSpaceDN w:val="0"/>
        <w:adjustRightInd w:val="0"/>
        <w:spacing w:after="0" w:line="240" w:lineRule="auto"/>
        <w:jc w:val="both"/>
        <w:rPr>
          <w:rFonts w:eastAsia="CIDFont+F8" w:cstheme="minorHAnsi"/>
          <w:lang w:val="en-US"/>
        </w:rPr>
      </w:pPr>
    </w:p>
    <w:p w14:paraId="4530D1CD" w14:textId="3F73412C" w:rsidR="00640F11" w:rsidRDefault="00640F11" w:rsidP="00620B13">
      <w:pPr>
        <w:autoSpaceDE w:val="0"/>
        <w:autoSpaceDN w:val="0"/>
        <w:adjustRightInd w:val="0"/>
        <w:spacing w:after="0" w:line="240" w:lineRule="auto"/>
        <w:jc w:val="both"/>
        <w:rPr>
          <w:rFonts w:eastAsia="CIDFont+F8" w:cstheme="minorHAnsi"/>
          <w:lang w:val="en-US"/>
        </w:rPr>
      </w:pPr>
    </w:p>
    <w:p w14:paraId="439814F8" w14:textId="4847DFCF" w:rsidR="00640F11" w:rsidRDefault="00640F11" w:rsidP="00620B13">
      <w:pPr>
        <w:autoSpaceDE w:val="0"/>
        <w:autoSpaceDN w:val="0"/>
        <w:adjustRightInd w:val="0"/>
        <w:spacing w:after="0" w:line="240" w:lineRule="auto"/>
        <w:jc w:val="both"/>
        <w:rPr>
          <w:rFonts w:eastAsia="CIDFont+F8" w:cstheme="minorHAnsi"/>
          <w:lang w:val="en-US"/>
        </w:rPr>
      </w:pPr>
    </w:p>
    <w:p w14:paraId="0861F67F" w14:textId="4FBA21B2" w:rsidR="00640F11" w:rsidRDefault="00640F11" w:rsidP="00620B13">
      <w:pPr>
        <w:autoSpaceDE w:val="0"/>
        <w:autoSpaceDN w:val="0"/>
        <w:adjustRightInd w:val="0"/>
        <w:spacing w:after="0" w:line="240" w:lineRule="auto"/>
        <w:jc w:val="both"/>
        <w:rPr>
          <w:rFonts w:eastAsia="CIDFont+F8" w:cstheme="minorHAnsi"/>
          <w:lang w:val="en-US"/>
        </w:rPr>
      </w:pPr>
    </w:p>
    <w:p w14:paraId="32AB8C92" w14:textId="2ACA7C95" w:rsidR="00640F11" w:rsidRDefault="00640F11" w:rsidP="00620B13">
      <w:pPr>
        <w:autoSpaceDE w:val="0"/>
        <w:autoSpaceDN w:val="0"/>
        <w:adjustRightInd w:val="0"/>
        <w:spacing w:after="0" w:line="240" w:lineRule="auto"/>
        <w:jc w:val="both"/>
        <w:rPr>
          <w:rFonts w:eastAsia="CIDFont+F8" w:cstheme="minorHAnsi"/>
          <w:lang w:val="en-US"/>
        </w:rPr>
      </w:pPr>
    </w:p>
    <w:p w14:paraId="351A1BB3" w14:textId="74DB7E5A" w:rsidR="00640F11" w:rsidRDefault="00640F11" w:rsidP="00620B13">
      <w:pPr>
        <w:autoSpaceDE w:val="0"/>
        <w:autoSpaceDN w:val="0"/>
        <w:adjustRightInd w:val="0"/>
        <w:spacing w:after="0" w:line="240" w:lineRule="auto"/>
        <w:jc w:val="both"/>
        <w:rPr>
          <w:rFonts w:eastAsia="CIDFont+F8" w:cstheme="minorHAnsi"/>
          <w:lang w:val="en-US"/>
        </w:rPr>
      </w:pPr>
    </w:p>
    <w:p w14:paraId="238B4466" w14:textId="44132338" w:rsidR="00640F11" w:rsidRDefault="00640F11" w:rsidP="00620B13">
      <w:pPr>
        <w:autoSpaceDE w:val="0"/>
        <w:autoSpaceDN w:val="0"/>
        <w:adjustRightInd w:val="0"/>
        <w:spacing w:after="0" w:line="240" w:lineRule="auto"/>
        <w:jc w:val="both"/>
        <w:rPr>
          <w:rFonts w:eastAsia="CIDFont+F8" w:cstheme="minorHAnsi"/>
          <w:lang w:val="en-US"/>
        </w:rPr>
      </w:pPr>
    </w:p>
    <w:p w14:paraId="2D3AEEE4" w14:textId="4C655975" w:rsidR="00640F11" w:rsidRDefault="00640F11" w:rsidP="00620B13">
      <w:pPr>
        <w:autoSpaceDE w:val="0"/>
        <w:autoSpaceDN w:val="0"/>
        <w:adjustRightInd w:val="0"/>
        <w:spacing w:after="0" w:line="240" w:lineRule="auto"/>
        <w:jc w:val="both"/>
        <w:rPr>
          <w:rFonts w:eastAsia="CIDFont+F8" w:cstheme="minorHAnsi"/>
          <w:lang w:val="en-US"/>
        </w:rPr>
      </w:pPr>
    </w:p>
    <w:p w14:paraId="6725AA61" w14:textId="2ADA3D8A" w:rsidR="00640F11" w:rsidRDefault="00640F11" w:rsidP="00620B13">
      <w:pPr>
        <w:autoSpaceDE w:val="0"/>
        <w:autoSpaceDN w:val="0"/>
        <w:adjustRightInd w:val="0"/>
        <w:spacing w:after="0" w:line="240" w:lineRule="auto"/>
        <w:jc w:val="both"/>
        <w:rPr>
          <w:rFonts w:eastAsia="CIDFont+F8" w:cstheme="minorHAnsi"/>
          <w:lang w:val="en-US"/>
        </w:rPr>
      </w:pPr>
    </w:p>
    <w:p w14:paraId="11778E35" w14:textId="62EAC30A" w:rsidR="00640F11" w:rsidRDefault="00640F11" w:rsidP="00620B13">
      <w:pPr>
        <w:autoSpaceDE w:val="0"/>
        <w:autoSpaceDN w:val="0"/>
        <w:adjustRightInd w:val="0"/>
        <w:spacing w:after="0" w:line="240" w:lineRule="auto"/>
        <w:jc w:val="both"/>
        <w:rPr>
          <w:rFonts w:eastAsia="CIDFont+F8" w:cstheme="minorHAnsi"/>
          <w:lang w:val="en-US"/>
        </w:rPr>
      </w:pPr>
    </w:p>
    <w:p w14:paraId="63493723" w14:textId="219016CE" w:rsidR="00640F11" w:rsidRDefault="00640F11" w:rsidP="00620B13">
      <w:pPr>
        <w:autoSpaceDE w:val="0"/>
        <w:autoSpaceDN w:val="0"/>
        <w:adjustRightInd w:val="0"/>
        <w:spacing w:after="0" w:line="240" w:lineRule="auto"/>
        <w:jc w:val="both"/>
        <w:rPr>
          <w:rFonts w:eastAsia="CIDFont+F8" w:cstheme="minorHAnsi"/>
          <w:lang w:val="en-US"/>
        </w:rPr>
      </w:pPr>
    </w:p>
    <w:p w14:paraId="2FC79303" w14:textId="37B5272F" w:rsidR="00640F11" w:rsidRDefault="00640F11" w:rsidP="00620B13">
      <w:pPr>
        <w:autoSpaceDE w:val="0"/>
        <w:autoSpaceDN w:val="0"/>
        <w:adjustRightInd w:val="0"/>
        <w:spacing w:after="0" w:line="240" w:lineRule="auto"/>
        <w:jc w:val="both"/>
        <w:rPr>
          <w:rFonts w:eastAsia="CIDFont+F8" w:cstheme="minorHAnsi"/>
          <w:lang w:val="en-US"/>
        </w:rPr>
      </w:pPr>
    </w:p>
    <w:p w14:paraId="3BACFC6F" w14:textId="77777777" w:rsidR="00640F11" w:rsidRPr="00F30982" w:rsidRDefault="00640F11"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2" w:name="_Toc459799304"/>
      <w:r w:rsidRPr="00F30982">
        <w:rPr>
          <w:rFonts w:asciiTheme="minorHAnsi" w:hAnsiTheme="minorHAnsi" w:cstheme="minorHAnsi"/>
        </w:rPr>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BC1169">
        <w:trPr>
          <w:trHeight w:val="287"/>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4C1DBBBC" w:rsidR="005D5EF6" w:rsidRPr="00F30982" w:rsidRDefault="005D5EF6" w:rsidP="009A2B60">
            <w:pPr>
              <w:spacing w:after="0" w:line="240" w:lineRule="auto"/>
              <w:jc w:val="both"/>
              <w:rPr>
                <w:rFonts w:cstheme="minorHAnsi"/>
                <w:b/>
                <w:bCs/>
                <w:i/>
                <w:iCs/>
                <w:noProof/>
              </w:rPr>
            </w:pP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28D50FA4" w:rsidR="005D5EF6" w:rsidRPr="00F30982" w:rsidRDefault="005D5EF6" w:rsidP="00A36AB4">
            <w:pPr>
              <w:spacing w:after="0" w:line="240" w:lineRule="auto"/>
              <w:jc w:val="both"/>
              <w:rPr>
                <w:rFonts w:cstheme="minorHAnsi"/>
              </w:rPr>
            </w:pP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265EB5BB" w:rsidR="005D5EF6" w:rsidRPr="00F30982" w:rsidRDefault="003F4EC6" w:rsidP="00A40F00">
            <w:pPr>
              <w:spacing w:after="0" w:line="240" w:lineRule="auto"/>
              <w:rPr>
                <w:rFonts w:cstheme="minorHAnsi"/>
              </w:rPr>
            </w:pPr>
            <w:r>
              <w:rPr>
                <w:rFonts w:eastAsia="Times New Roman" w:cstheme="minorHAnsi"/>
                <w:color w:val="000000"/>
                <w:lang w:val="en-US"/>
              </w:rPr>
              <w:t>Spears</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46CB7B43" w:rsidR="005D5EF6" w:rsidRPr="00F30982" w:rsidRDefault="005D5EF6" w:rsidP="009A2B60">
            <w:pPr>
              <w:spacing w:after="0" w:line="240" w:lineRule="auto"/>
              <w:rPr>
                <w:rFonts w:cstheme="minorHAnsi"/>
              </w:rPr>
            </w:pPr>
          </w:p>
        </w:tc>
        <w:tc>
          <w:tcPr>
            <w:tcW w:w="5404" w:type="dxa"/>
            <w:shd w:val="clear" w:color="auto" w:fill="auto"/>
          </w:tcPr>
          <w:p w14:paraId="33214229" w14:textId="6EBC3F0B" w:rsidR="00564B91" w:rsidRPr="003F4EC6" w:rsidRDefault="00564B91" w:rsidP="00640F11">
            <w:pPr>
              <w:shd w:val="clear" w:color="auto" w:fill="FFFFFF"/>
              <w:tabs>
                <w:tab w:val="left" w:pos="2805"/>
              </w:tabs>
              <w:spacing w:after="0" w:line="240" w:lineRule="auto"/>
              <w:jc w:val="both"/>
              <w:rPr>
                <w:rFonts w:eastAsia="Times New Roman" w:cstheme="minorHAnsi"/>
                <w:b/>
                <w:color w:val="000000" w:themeColor="text1"/>
              </w:rPr>
            </w:pP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5A5E065A" w:rsidR="005D5EF6" w:rsidRPr="00F30982" w:rsidRDefault="00954ECB" w:rsidP="00A40F00">
            <w:pPr>
              <w:spacing w:after="0" w:line="240" w:lineRule="auto"/>
              <w:jc w:val="both"/>
              <w:rPr>
                <w:rFonts w:cstheme="minorHAnsi"/>
                <w:b/>
              </w:rPr>
            </w:pPr>
            <w:r>
              <w:rPr>
                <w:rFonts w:cstheme="minorHAnsi"/>
              </w:rPr>
              <w:t>10</w:t>
            </w:r>
            <w:bookmarkStart w:id="3" w:name="_GoBack"/>
            <w:bookmarkEnd w:id="3"/>
            <w:r w:rsidR="00A40F00">
              <w:rPr>
                <w:rFonts w:cstheme="minorHAnsi"/>
              </w:rPr>
              <w:t xml:space="preserve"> </w:t>
            </w:r>
            <w:r w:rsidR="00BC1169">
              <w:rPr>
                <w:rFonts w:cstheme="minorHAnsi"/>
              </w:rPr>
              <w:t>June</w:t>
            </w:r>
            <w:r w:rsidR="00B02ED8">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45C5A7FF" w:rsidR="005D5EF6" w:rsidRPr="00F30982" w:rsidRDefault="00A40F00" w:rsidP="00BC1169">
            <w:pPr>
              <w:spacing w:after="0" w:line="240" w:lineRule="auto"/>
              <w:rPr>
                <w:rFonts w:cstheme="minorHAnsi"/>
              </w:rPr>
            </w:pPr>
            <w:r>
              <w:rPr>
                <w:rFonts w:cstheme="minorHAnsi"/>
              </w:rPr>
              <w:t>05</w:t>
            </w:r>
            <w:r w:rsidR="00BC1169">
              <w:rPr>
                <w:rFonts w:cstheme="minorHAnsi"/>
              </w:rPr>
              <w:t xml:space="preserve"> July</w:t>
            </w:r>
            <w:r w:rsidR="00564B91">
              <w:rPr>
                <w:rFonts w:cstheme="minorHAnsi"/>
              </w:rPr>
              <w:t xml:space="preserve"> 2024</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0EABD445" w:rsidR="005D5EF6" w:rsidRPr="00F30982" w:rsidRDefault="00BC1169" w:rsidP="00A40F00">
            <w:pPr>
              <w:spacing w:after="0" w:line="240" w:lineRule="auto"/>
              <w:jc w:val="both"/>
              <w:rPr>
                <w:rFonts w:cstheme="minorHAnsi"/>
              </w:rPr>
            </w:pPr>
            <w:r>
              <w:rPr>
                <w:rFonts w:cstheme="minorHAnsi"/>
                <w:bCs/>
              </w:rPr>
              <w:t>19 Ju</w:t>
            </w:r>
            <w:r w:rsidR="00A40F00">
              <w:rPr>
                <w:rFonts w:cstheme="minorHAnsi"/>
                <w:bCs/>
              </w:rPr>
              <w:t>ne</w:t>
            </w:r>
            <w:r w:rsidR="00564B91">
              <w:rPr>
                <w:rFonts w:cstheme="minorHAnsi"/>
                <w:bCs/>
              </w:rPr>
              <w:t>,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226569FA" w:rsidR="005D5EF6" w:rsidRPr="00F30982" w:rsidRDefault="003F4EC6" w:rsidP="00A40F00">
            <w:pPr>
              <w:spacing w:after="0" w:line="240" w:lineRule="auto"/>
              <w:jc w:val="both"/>
              <w:rPr>
                <w:rFonts w:cstheme="minorHAnsi"/>
                <w:b/>
                <w:bCs/>
              </w:rPr>
            </w:pPr>
            <w:r>
              <w:rPr>
                <w:rFonts w:cstheme="minorHAnsi"/>
                <w:b/>
                <w:bCs/>
                <w:highlight w:val="yellow"/>
              </w:rPr>
              <w:t>Tender reference: 2024-0</w:t>
            </w:r>
            <w:r w:rsidR="00BC1169">
              <w:rPr>
                <w:rFonts w:cstheme="minorHAnsi"/>
                <w:b/>
                <w:bCs/>
                <w:highlight w:val="yellow"/>
              </w:rPr>
              <w:t>3</w:t>
            </w:r>
            <w:r w:rsidR="00E21F57">
              <w:rPr>
                <w:rFonts w:cstheme="minorHAnsi"/>
                <w:b/>
                <w:bCs/>
                <w:highlight w:val="yellow"/>
              </w:rPr>
              <w:t>1</w:t>
            </w:r>
            <w:r w:rsidR="005D5EF6" w:rsidRPr="00F30982">
              <w:rPr>
                <w:rFonts w:cstheme="minorHAnsi"/>
                <w:b/>
                <w:bCs/>
                <w:highlight w:val="yellow"/>
              </w:rPr>
              <w:t xml:space="preserve"> Do not open before </w:t>
            </w:r>
            <w:r w:rsidR="00BC1169">
              <w:rPr>
                <w:rFonts w:cstheme="minorHAnsi"/>
                <w:b/>
                <w:bCs/>
                <w:highlight w:val="yellow"/>
              </w:rPr>
              <w:t>0</w:t>
            </w:r>
            <w:r w:rsidR="00A40F00">
              <w:rPr>
                <w:rFonts w:cstheme="minorHAnsi"/>
                <w:b/>
                <w:bCs/>
                <w:highlight w:val="yellow"/>
              </w:rPr>
              <w:t>5</w:t>
            </w:r>
            <w:r w:rsidR="00BC1169">
              <w:rPr>
                <w:rFonts w:cstheme="minorHAnsi"/>
                <w:b/>
                <w:bCs/>
                <w:highlight w:val="yellow"/>
              </w:rPr>
              <w:t xml:space="preserve"> July</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lastRenderedPageBreak/>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5" w:name="_Toc459799307"/>
      <w:r w:rsidRPr="00F30982">
        <w:rPr>
          <w:rFonts w:asciiTheme="minorHAnsi" w:hAnsiTheme="minorHAnsi" w:cstheme="minorHAnsi"/>
          <w:sz w:val="24"/>
          <w:szCs w:val="24"/>
        </w:rPr>
        <w:lastRenderedPageBreak/>
        <w:t>ANNEX 2 - BID FORM</w:t>
      </w:r>
      <w:bookmarkEnd w:id="5"/>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954D6BC" w:rsidR="006E18E6" w:rsidRPr="00F30982" w:rsidRDefault="006E18E6" w:rsidP="003344C6">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bank trans</w:t>
      </w:r>
      <w:r w:rsidR="003344C6">
        <w:rPr>
          <w:rFonts w:cstheme="minorHAnsi"/>
          <w:sz w:val="20"/>
          <w:szCs w:val="20"/>
          <w:lang w:val="en-US"/>
        </w:rPr>
        <w:t xml:space="preserve">fer fees, delivery charges to Spears </w:t>
      </w:r>
      <w:r w:rsidRPr="00F30982">
        <w:rPr>
          <w:rFonts w:cstheme="minorHAnsi"/>
          <w:sz w:val="20"/>
          <w:szCs w:val="20"/>
          <w:lang w:val="en-US"/>
        </w:rPr>
        <w:t>and all related fees.</w:t>
      </w:r>
    </w:p>
    <w:p w14:paraId="1ACBFF4C" w14:textId="35F51937" w:rsidR="001E6B2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54FA1EF5" w:rsidR="00A44D90" w:rsidRPr="007E624E" w:rsidRDefault="00481B2E" w:rsidP="00405AB8">
      <w:pPr>
        <w:pStyle w:val="Heading4"/>
        <w:rPr>
          <w:rFonts w:asciiTheme="minorHAnsi" w:eastAsia="Times New Roman" w:hAnsiTheme="minorHAnsi" w:cstheme="minorHAnsi"/>
          <w:u w:val="single"/>
          <w:lang w:val="en-US"/>
        </w:rPr>
      </w:pPr>
      <w:r w:rsidRPr="007E624E">
        <w:rPr>
          <w:rFonts w:asciiTheme="minorHAnsi" w:eastAsia="Times New Roman" w:hAnsiTheme="minorHAnsi" w:cstheme="minorHAnsi"/>
          <w:u w:val="single"/>
          <w:lang w:val="en-US"/>
        </w:rPr>
        <w:t>L</w:t>
      </w:r>
      <w:r w:rsidR="002E274D" w:rsidRPr="007E624E">
        <w:rPr>
          <w:rFonts w:asciiTheme="minorHAnsi" w:eastAsia="Times New Roman" w:hAnsiTheme="minorHAnsi" w:cstheme="minorHAnsi"/>
          <w:u w:val="single"/>
          <w:lang w:val="en-US"/>
        </w:rPr>
        <w:t xml:space="preserve">OT 1: </w:t>
      </w:r>
      <w:r w:rsidR="00405AB8">
        <w:rPr>
          <w:rFonts w:asciiTheme="minorHAnsi" w:eastAsia="Times New Roman" w:hAnsiTheme="minorHAnsi" w:cstheme="minorHAnsi"/>
          <w:u w:val="single"/>
          <w:lang w:val="en-US"/>
        </w:rPr>
        <w:t>VM Community Portal</w:t>
      </w:r>
    </w:p>
    <w:tbl>
      <w:tblPr>
        <w:tblW w:w="155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381"/>
        <w:gridCol w:w="1505"/>
        <w:gridCol w:w="1396"/>
        <w:gridCol w:w="2267"/>
        <w:gridCol w:w="669"/>
        <w:gridCol w:w="2138"/>
        <w:gridCol w:w="2267"/>
        <w:gridCol w:w="1275"/>
      </w:tblGrid>
      <w:tr w:rsidR="002A2ED9" w:rsidRPr="002A2ED9" w14:paraId="7629F0FD" w14:textId="77777777" w:rsidTr="00A40F00">
        <w:trPr>
          <w:trHeight w:val="247"/>
        </w:trPr>
        <w:tc>
          <w:tcPr>
            <w:tcW w:w="6964" w:type="dxa"/>
            <w:gridSpan w:val="4"/>
            <w:shd w:val="clear" w:color="000000" w:fill="D9E1F2"/>
            <w:vAlign w:val="center"/>
            <w:hideMark/>
          </w:tcPr>
          <w:p w14:paraId="6A89A3E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LRC TO COMPLETE</w:t>
            </w:r>
          </w:p>
        </w:tc>
        <w:tc>
          <w:tcPr>
            <w:tcW w:w="8616" w:type="dxa"/>
            <w:gridSpan w:val="5"/>
            <w:shd w:val="clear" w:color="000000" w:fill="E5DFEC"/>
            <w:vAlign w:val="center"/>
            <w:hideMark/>
          </w:tcPr>
          <w:p w14:paraId="3D6210C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BIDDER TO COMPLETE (bidders must fill up all the requested details)</w:t>
            </w:r>
          </w:p>
        </w:tc>
      </w:tr>
      <w:tr w:rsidR="002A2ED9" w:rsidRPr="002A2ED9" w14:paraId="66FB9C0B" w14:textId="77777777" w:rsidTr="00A40F00">
        <w:trPr>
          <w:trHeight w:val="1551"/>
        </w:trPr>
        <w:tc>
          <w:tcPr>
            <w:tcW w:w="682" w:type="dxa"/>
            <w:shd w:val="clear" w:color="000000" w:fill="D9E1F2"/>
            <w:vAlign w:val="center"/>
            <w:hideMark/>
          </w:tcPr>
          <w:p w14:paraId="420F062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ITEM #</w:t>
            </w:r>
          </w:p>
        </w:tc>
        <w:tc>
          <w:tcPr>
            <w:tcW w:w="3381" w:type="dxa"/>
            <w:shd w:val="clear" w:color="000000" w:fill="D9E1F2"/>
            <w:vAlign w:val="center"/>
            <w:hideMark/>
          </w:tcPr>
          <w:p w14:paraId="556CFEA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ITEM/MILESTONE REQUIRED (AS PER ANNEX 3)</w:t>
            </w:r>
          </w:p>
        </w:tc>
        <w:tc>
          <w:tcPr>
            <w:tcW w:w="1505" w:type="dxa"/>
            <w:shd w:val="clear" w:color="000000" w:fill="D9E1F2"/>
            <w:vAlign w:val="center"/>
            <w:hideMark/>
          </w:tcPr>
          <w:p w14:paraId="51734F99" w14:textId="77777777" w:rsidR="002A2ED9" w:rsidRPr="002A2ED9" w:rsidRDefault="002A2ED9" w:rsidP="002A2ED9">
            <w:pPr>
              <w:spacing w:after="0" w:line="240" w:lineRule="auto"/>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UOM</w:t>
            </w:r>
          </w:p>
        </w:tc>
        <w:tc>
          <w:tcPr>
            <w:tcW w:w="1396" w:type="dxa"/>
            <w:shd w:val="clear" w:color="000000" w:fill="D9E1F2"/>
            <w:vAlign w:val="center"/>
            <w:hideMark/>
          </w:tcPr>
          <w:p w14:paraId="4FC17A1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ESTIMATED QUANTITY</w:t>
            </w:r>
          </w:p>
        </w:tc>
        <w:tc>
          <w:tcPr>
            <w:tcW w:w="2267" w:type="dxa"/>
            <w:shd w:val="clear" w:color="000000" w:fill="E5DFEC"/>
            <w:vAlign w:val="center"/>
            <w:hideMark/>
          </w:tcPr>
          <w:p w14:paraId="4C76D36C" w14:textId="02CD4772" w:rsidR="002A2ED9" w:rsidRPr="002A2ED9" w:rsidRDefault="002A2ED9" w:rsidP="00A40F00">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UNIT PRICE (USD) Excluding VAT, but including Bank Transfer, Labor, Delivery and all other fees </w:t>
            </w:r>
          </w:p>
        </w:tc>
        <w:tc>
          <w:tcPr>
            <w:tcW w:w="669" w:type="dxa"/>
            <w:shd w:val="clear" w:color="000000" w:fill="E5DFEC"/>
            <w:vAlign w:val="center"/>
            <w:hideMark/>
          </w:tcPr>
          <w:p w14:paraId="0599C01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VAT (%)</w:t>
            </w:r>
          </w:p>
        </w:tc>
        <w:tc>
          <w:tcPr>
            <w:tcW w:w="2138" w:type="dxa"/>
            <w:shd w:val="clear" w:color="000000" w:fill="E5DFEC"/>
            <w:vAlign w:val="center"/>
            <w:hideMark/>
          </w:tcPr>
          <w:p w14:paraId="766BBEE5" w14:textId="28346983" w:rsidR="002A2ED9" w:rsidRPr="002A2ED9" w:rsidRDefault="002A2ED9" w:rsidP="00A40F00">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UNIT PRICE (USD) Inclusive VAT, Bank Transfer, Labor, Delivery  and all other fees </w:t>
            </w:r>
          </w:p>
        </w:tc>
        <w:tc>
          <w:tcPr>
            <w:tcW w:w="2267" w:type="dxa"/>
            <w:shd w:val="clear" w:color="000000" w:fill="E5DFEC"/>
            <w:vAlign w:val="center"/>
            <w:hideMark/>
          </w:tcPr>
          <w:p w14:paraId="1E875765" w14:textId="358A2A70" w:rsidR="002A2ED9" w:rsidRPr="002A2ED9" w:rsidRDefault="002A2ED9" w:rsidP="00A40F00">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Total PRICE (USD) Excluding VAT, but including  Bank Transfer, Labor, and all other fees </w:t>
            </w:r>
          </w:p>
        </w:tc>
        <w:tc>
          <w:tcPr>
            <w:tcW w:w="1275" w:type="dxa"/>
            <w:shd w:val="clear" w:color="000000" w:fill="E5DFEC"/>
            <w:vAlign w:val="center"/>
            <w:hideMark/>
          </w:tcPr>
          <w:p w14:paraId="49308F7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Lead Time Delivery from the date of each Purchase Order </w:t>
            </w:r>
          </w:p>
        </w:tc>
      </w:tr>
      <w:tr w:rsidR="002A2ED9" w:rsidRPr="002A2ED9" w14:paraId="045E03BF" w14:textId="77777777" w:rsidTr="00A40F00">
        <w:trPr>
          <w:trHeight w:val="367"/>
        </w:trPr>
        <w:tc>
          <w:tcPr>
            <w:tcW w:w="682" w:type="dxa"/>
            <w:shd w:val="clear" w:color="auto" w:fill="auto"/>
            <w:noWrap/>
            <w:vAlign w:val="center"/>
            <w:hideMark/>
          </w:tcPr>
          <w:p w14:paraId="5D9E427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w:t>
            </w:r>
          </w:p>
        </w:tc>
        <w:tc>
          <w:tcPr>
            <w:tcW w:w="3381" w:type="dxa"/>
            <w:shd w:val="clear" w:color="auto" w:fill="auto"/>
            <w:vAlign w:val="center"/>
            <w:hideMark/>
          </w:tcPr>
          <w:p w14:paraId="1B689B5C" w14:textId="201372CF" w:rsidR="002A2ED9" w:rsidRPr="002A2ED9" w:rsidRDefault="00A40F00" w:rsidP="002A2ED9">
            <w:pPr>
              <w:spacing w:after="0" w:line="240" w:lineRule="auto"/>
              <w:jc w:val="center"/>
              <w:rPr>
                <w:rFonts w:ascii="Calibri" w:eastAsia="Times New Roman" w:hAnsi="Calibri" w:cs="Calibri"/>
                <w:b/>
                <w:bCs/>
                <w:color w:val="000000"/>
                <w:sz w:val="20"/>
                <w:szCs w:val="20"/>
                <w:lang w:val="en-US"/>
              </w:rPr>
            </w:pPr>
            <w:r w:rsidRPr="00C1364D">
              <w:rPr>
                <w:rFonts w:eastAsiaTheme="majorEastAsia" w:cstheme="minorHAnsi"/>
                <w:b/>
                <w:bCs/>
                <w:smallCaps/>
                <w:color w:val="000000" w:themeColor="text1"/>
                <w:spacing w:val="5"/>
                <w:sz w:val="24"/>
                <w:szCs w:val="24"/>
              </w:rPr>
              <w:t>Volunteer Management Community Portal</w:t>
            </w:r>
          </w:p>
        </w:tc>
        <w:tc>
          <w:tcPr>
            <w:tcW w:w="1505" w:type="dxa"/>
            <w:shd w:val="clear" w:color="auto" w:fill="auto"/>
            <w:vAlign w:val="center"/>
            <w:hideMark/>
          </w:tcPr>
          <w:p w14:paraId="171CE0E1" w14:textId="3366E9D8" w:rsidR="002A2ED9" w:rsidRPr="002A2ED9" w:rsidRDefault="00A40F00" w:rsidP="002A2ED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LS</w:t>
            </w:r>
          </w:p>
        </w:tc>
        <w:tc>
          <w:tcPr>
            <w:tcW w:w="1396" w:type="dxa"/>
            <w:shd w:val="clear" w:color="auto" w:fill="auto"/>
            <w:noWrap/>
            <w:vAlign w:val="center"/>
            <w:hideMark/>
          </w:tcPr>
          <w:p w14:paraId="49EBE404" w14:textId="7086773A" w:rsidR="002A2ED9" w:rsidRPr="002A2ED9" w:rsidRDefault="002A2ED9" w:rsidP="00A40F00">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w:t>
            </w:r>
            <w:r w:rsidR="00A40F00">
              <w:rPr>
                <w:rFonts w:ascii="Calibri" w:eastAsia="Times New Roman" w:hAnsi="Calibri" w:cs="Calibri"/>
                <w:b/>
                <w:bCs/>
                <w:color w:val="000000"/>
                <w:sz w:val="20"/>
                <w:szCs w:val="20"/>
                <w:lang w:val="en-US"/>
              </w:rPr>
              <w:t>1</w:t>
            </w:r>
            <w:r w:rsidRPr="002A2ED9">
              <w:rPr>
                <w:rFonts w:ascii="Calibri" w:eastAsia="Times New Roman" w:hAnsi="Calibri" w:cs="Calibri"/>
                <w:b/>
                <w:bCs/>
                <w:color w:val="000000"/>
                <w:sz w:val="20"/>
                <w:szCs w:val="20"/>
                <w:lang w:val="en-US"/>
              </w:rPr>
              <w:t xml:space="preserve"> </w:t>
            </w:r>
          </w:p>
        </w:tc>
        <w:tc>
          <w:tcPr>
            <w:tcW w:w="2267" w:type="dxa"/>
            <w:shd w:val="clear" w:color="auto" w:fill="auto"/>
            <w:noWrap/>
            <w:vAlign w:val="bottom"/>
            <w:hideMark/>
          </w:tcPr>
          <w:p w14:paraId="799743D8"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shd w:val="clear" w:color="auto" w:fill="auto"/>
            <w:noWrap/>
            <w:vAlign w:val="center"/>
            <w:hideMark/>
          </w:tcPr>
          <w:p w14:paraId="3B129FD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shd w:val="clear" w:color="auto" w:fill="auto"/>
            <w:noWrap/>
            <w:vAlign w:val="center"/>
            <w:hideMark/>
          </w:tcPr>
          <w:p w14:paraId="548BDEC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shd w:val="clear" w:color="auto" w:fill="auto"/>
            <w:noWrap/>
            <w:vAlign w:val="center"/>
            <w:hideMark/>
          </w:tcPr>
          <w:p w14:paraId="14EECEB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shd w:val="clear" w:color="auto" w:fill="auto"/>
            <w:noWrap/>
            <w:vAlign w:val="center"/>
            <w:hideMark/>
          </w:tcPr>
          <w:p w14:paraId="287DFCF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A40F00" w:rsidRPr="002A2ED9" w14:paraId="07EB77E8" w14:textId="77777777" w:rsidTr="00A40F00">
        <w:trPr>
          <w:trHeight w:val="367"/>
        </w:trPr>
        <w:tc>
          <w:tcPr>
            <w:tcW w:w="15580" w:type="dxa"/>
            <w:gridSpan w:val="9"/>
            <w:shd w:val="clear" w:color="auto" w:fill="C6D9F1" w:themeFill="text2" w:themeFillTint="33"/>
            <w:noWrap/>
            <w:vAlign w:val="center"/>
          </w:tcPr>
          <w:p w14:paraId="4A4D05FC" w14:textId="30E0E86D" w:rsidR="00A40F00" w:rsidRPr="002A2ED9" w:rsidRDefault="00A40F00" w:rsidP="00A40F00">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PRICE BREAKDOWN</w:t>
            </w:r>
          </w:p>
        </w:tc>
      </w:tr>
      <w:tr w:rsidR="00A40F00" w:rsidRPr="002A2ED9" w14:paraId="3B4D4638" w14:textId="77777777" w:rsidTr="00A40F00">
        <w:trPr>
          <w:trHeight w:val="367"/>
        </w:trPr>
        <w:tc>
          <w:tcPr>
            <w:tcW w:w="682" w:type="dxa"/>
            <w:shd w:val="clear" w:color="auto" w:fill="auto"/>
            <w:noWrap/>
            <w:vAlign w:val="center"/>
          </w:tcPr>
          <w:p w14:paraId="112D47F4" w14:textId="3DFAE0CE"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2.1</w:t>
            </w:r>
          </w:p>
        </w:tc>
        <w:tc>
          <w:tcPr>
            <w:tcW w:w="3381" w:type="dxa"/>
            <w:shd w:val="clear" w:color="auto" w:fill="auto"/>
            <w:vAlign w:val="center"/>
          </w:tcPr>
          <w:p w14:paraId="112E1F74"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31796761"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197FBD99"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54994363"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16BB1EA2"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2392F562"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57DC83D9"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41BAEE1B"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3E5F93ED" w14:textId="77777777" w:rsidTr="00A40F00">
        <w:trPr>
          <w:trHeight w:val="367"/>
        </w:trPr>
        <w:tc>
          <w:tcPr>
            <w:tcW w:w="682" w:type="dxa"/>
            <w:shd w:val="clear" w:color="auto" w:fill="auto"/>
            <w:noWrap/>
            <w:vAlign w:val="center"/>
          </w:tcPr>
          <w:p w14:paraId="6467ED2F" w14:textId="65C6458B"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2.2</w:t>
            </w:r>
          </w:p>
        </w:tc>
        <w:tc>
          <w:tcPr>
            <w:tcW w:w="3381" w:type="dxa"/>
            <w:shd w:val="clear" w:color="auto" w:fill="auto"/>
            <w:vAlign w:val="center"/>
          </w:tcPr>
          <w:p w14:paraId="020302B6"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488BC367"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34D4249B"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498D2526"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46D710A6"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43A69515"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68B22C3B"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1657B8F7"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40B8B753" w14:textId="77777777" w:rsidTr="00A40F00">
        <w:trPr>
          <w:trHeight w:val="367"/>
        </w:trPr>
        <w:tc>
          <w:tcPr>
            <w:tcW w:w="682" w:type="dxa"/>
            <w:shd w:val="clear" w:color="auto" w:fill="auto"/>
            <w:noWrap/>
            <w:vAlign w:val="center"/>
          </w:tcPr>
          <w:p w14:paraId="5EC77D08" w14:textId="36879501"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2.3</w:t>
            </w:r>
          </w:p>
        </w:tc>
        <w:tc>
          <w:tcPr>
            <w:tcW w:w="3381" w:type="dxa"/>
            <w:shd w:val="clear" w:color="auto" w:fill="auto"/>
            <w:vAlign w:val="center"/>
          </w:tcPr>
          <w:p w14:paraId="26147333"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79943674"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45F9F28E"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20DB1984"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106E8DF6"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7C48C1E6"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0E4382DA"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4EFFA70F"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18AEB669" w14:textId="77777777" w:rsidTr="00A40F00">
        <w:trPr>
          <w:trHeight w:val="367"/>
        </w:trPr>
        <w:tc>
          <w:tcPr>
            <w:tcW w:w="682" w:type="dxa"/>
            <w:shd w:val="clear" w:color="auto" w:fill="auto"/>
            <w:noWrap/>
            <w:vAlign w:val="center"/>
          </w:tcPr>
          <w:p w14:paraId="72A54655" w14:textId="4F098004"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2.4</w:t>
            </w:r>
          </w:p>
        </w:tc>
        <w:tc>
          <w:tcPr>
            <w:tcW w:w="3381" w:type="dxa"/>
            <w:shd w:val="clear" w:color="auto" w:fill="auto"/>
            <w:vAlign w:val="center"/>
          </w:tcPr>
          <w:p w14:paraId="49882948"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07A4997C"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50A0D3DB"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44EC6009"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3B2D0D31"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4A5FD50F"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597D8C7F"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4083BB21"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0A48FF8D" w14:textId="77777777" w:rsidTr="00A40F00">
        <w:trPr>
          <w:trHeight w:val="367"/>
        </w:trPr>
        <w:tc>
          <w:tcPr>
            <w:tcW w:w="682" w:type="dxa"/>
            <w:shd w:val="clear" w:color="auto" w:fill="auto"/>
            <w:noWrap/>
            <w:vAlign w:val="center"/>
          </w:tcPr>
          <w:p w14:paraId="06748E1F" w14:textId="6C08D9BD"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2.5</w:t>
            </w:r>
          </w:p>
        </w:tc>
        <w:tc>
          <w:tcPr>
            <w:tcW w:w="3381" w:type="dxa"/>
            <w:shd w:val="clear" w:color="auto" w:fill="auto"/>
            <w:vAlign w:val="center"/>
          </w:tcPr>
          <w:p w14:paraId="407CE4B3"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125E6BAA"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4B551AEB"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1AF69220"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0050868F"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2C46C084"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31545402"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0B27A09B"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51DD617D" w14:textId="77777777" w:rsidTr="00A40F00">
        <w:trPr>
          <w:trHeight w:val="367"/>
        </w:trPr>
        <w:tc>
          <w:tcPr>
            <w:tcW w:w="682" w:type="dxa"/>
            <w:shd w:val="clear" w:color="auto" w:fill="auto"/>
            <w:noWrap/>
            <w:vAlign w:val="center"/>
          </w:tcPr>
          <w:p w14:paraId="3D22BD71" w14:textId="4E658F7B"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2.6</w:t>
            </w:r>
          </w:p>
        </w:tc>
        <w:tc>
          <w:tcPr>
            <w:tcW w:w="3381" w:type="dxa"/>
            <w:shd w:val="clear" w:color="auto" w:fill="auto"/>
            <w:vAlign w:val="center"/>
          </w:tcPr>
          <w:p w14:paraId="78CA7422"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09D645A0"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7C39B59B"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4CF8FB23"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06C74310"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25646C05"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1890BFEE"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041FC536"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3578AB54" w14:textId="77777777" w:rsidTr="00A40F00">
        <w:trPr>
          <w:trHeight w:val="367"/>
        </w:trPr>
        <w:tc>
          <w:tcPr>
            <w:tcW w:w="682" w:type="dxa"/>
            <w:shd w:val="clear" w:color="auto" w:fill="auto"/>
            <w:noWrap/>
            <w:vAlign w:val="center"/>
          </w:tcPr>
          <w:p w14:paraId="47F506B6"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3381" w:type="dxa"/>
            <w:shd w:val="clear" w:color="auto" w:fill="auto"/>
            <w:vAlign w:val="center"/>
          </w:tcPr>
          <w:p w14:paraId="1E0F5201"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4CC9BAB1"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720BF955"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50691456"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6A3DF4CA"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65E4E982"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19DF114C"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1DA747C2"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56424984" w14:textId="77777777" w:rsidTr="00A40F00">
        <w:trPr>
          <w:trHeight w:val="367"/>
        </w:trPr>
        <w:tc>
          <w:tcPr>
            <w:tcW w:w="682" w:type="dxa"/>
            <w:shd w:val="clear" w:color="auto" w:fill="auto"/>
            <w:noWrap/>
            <w:vAlign w:val="center"/>
          </w:tcPr>
          <w:p w14:paraId="08C0C234"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3381" w:type="dxa"/>
            <w:shd w:val="clear" w:color="auto" w:fill="auto"/>
            <w:vAlign w:val="center"/>
          </w:tcPr>
          <w:p w14:paraId="65E70CF8"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6BE97C41"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7750B49C"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6E2DAD32"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695A3FFD"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4655AB3F"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5F975DA9"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4CF10B10"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7E74DB92" w14:textId="77777777" w:rsidTr="00A40F00">
        <w:trPr>
          <w:trHeight w:val="367"/>
        </w:trPr>
        <w:tc>
          <w:tcPr>
            <w:tcW w:w="682" w:type="dxa"/>
            <w:shd w:val="clear" w:color="auto" w:fill="auto"/>
            <w:noWrap/>
            <w:vAlign w:val="center"/>
          </w:tcPr>
          <w:p w14:paraId="5735E933"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3381" w:type="dxa"/>
            <w:shd w:val="clear" w:color="auto" w:fill="auto"/>
            <w:vAlign w:val="center"/>
          </w:tcPr>
          <w:p w14:paraId="4A40223E"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196E80C3"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3F4E8352"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4210A965"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143F61E8"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5E9BCF6E"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1A719A1C"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1331F446"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589C9F77" w14:textId="77777777" w:rsidTr="00A40F00">
        <w:trPr>
          <w:trHeight w:val="367"/>
        </w:trPr>
        <w:tc>
          <w:tcPr>
            <w:tcW w:w="682" w:type="dxa"/>
            <w:shd w:val="clear" w:color="auto" w:fill="auto"/>
            <w:noWrap/>
            <w:vAlign w:val="center"/>
          </w:tcPr>
          <w:p w14:paraId="1D3F79E4"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3381" w:type="dxa"/>
            <w:shd w:val="clear" w:color="auto" w:fill="auto"/>
            <w:vAlign w:val="center"/>
          </w:tcPr>
          <w:p w14:paraId="2733E3F1"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0CBC4C4D"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2EC7DED8"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44BCD923"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1BE2F74C"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6D35E171"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4716AD27"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4BFD89CF"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r w:rsidR="00A40F00" w:rsidRPr="002A2ED9" w14:paraId="6942CC3A" w14:textId="77777777" w:rsidTr="00A40F00">
        <w:trPr>
          <w:trHeight w:val="367"/>
        </w:trPr>
        <w:tc>
          <w:tcPr>
            <w:tcW w:w="682" w:type="dxa"/>
            <w:shd w:val="clear" w:color="auto" w:fill="auto"/>
            <w:noWrap/>
            <w:vAlign w:val="center"/>
          </w:tcPr>
          <w:p w14:paraId="6106C12A"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3381" w:type="dxa"/>
            <w:shd w:val="clear" w:color="auto" w:fill="auto"/>
            <w:vAlign w:val="center"/>
          </w:tcPr>
          <w:p w14:paraId="5B2D5E91" w14:textId="77777777" w:rsidR="00A40F00" w:rsidRPr="00C1364D" w:rsidRDefault="00A40F00" w:rsidP="002A2ED9">
            <w:pPr>
              <w:spacing w:after="0" w:line="240" w:lineRule="auto"/>
              <w:jc w:val="center"/>
              <w:rPr>
                <w:rFonts w:eastAsiaTheme="majorEastAsia" w:cstheme="minorHAnsi"/>
                <w:b/>
                <w:bCs/>
                <w:smallCaps/>
                <w:color w:val="000000" w:themeColor="text1"/>
                <w:spacing w:val="5"/>
                <w:sz w:val="24"/>
                <w:szCs w:val="24"/>
              </w:rPr>
            </w:pPr>
          </w:p>
        </w:tc>
        <w:tc>
          <w:tcPr>
            <w:tcW w:w="1505" w:type="dxa"/>
            <w:shd w:val="clear" w:color="auto" w:fill="auto"/>
            <w:vAlign w:val="center"/>
          </w:tcPr>
          <w:p w14:paraId="7691D99B" w14:textId="77777777" w:rsidR="00A40F00" w:rsidRDefault="00A40F00" w:rsidP="002A2ED9">
            <w:pPr>
              <w:spacing w:after="0" w:line="240" w:lineRule="auto"/>
              <w:jc w:val="center"/>
              <w:rPr>
                <w:rFonts w:ascii="Calibri" w:eastAsia="Times New Roman" w:hAnsi="Calibri" w:cs="Calibri"/>
                <w:b/>
                <w:bCs/>
                <w:color w:val="000000"/>
                <w:sz w:val="20"/>
                <w:szCs w:val="20"/>
                <w:lang w:val="en-US"/>
              </w:rPr>
            </w:pPr>
          </w:p>
        </w:tc>
        <w:tc>
          <w:tcPr>
            <w:tcW w:w="1396" w:type="dxa"/>
            <w:shd w:val="clear" w:color="auto" w:fill="auto"/>
            <w:noWrap/>
            <w:vAlign w:val="center"/>
          </w:tcPr>
          <w:p w14:paraId="545615F4" w14:textId="77777777" w:rsidR="00A40F00" w:rsidRPr="002A2ED9" w:rsidRDefault="00A40F00" w:rsidP="00A40F00">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bottom"/>
          </w:tcPr>
          <w:p w14:paraId="05951B38" w14:textId="77777777" w:rsidR="00A40F00" w:rsidRPr="002A2ED9" w:rsidRDefault="00A40F00" w:rsidP="002A2ED9">
            <w:pPr>
              <w:spacing w:after="0" w:line="240" w:lineRule="auto"/>
              <w:jc w:val="center"/>
              <w:rPr>
                <w:rFonts w:ascii="Calibri" w:eastAsia="Times New Roman" w:hAnsi="Calibri" w:cs="Calibri"/>
                <w:color w:val="000000"/>
                <w:lang w:val="en-US"/>
              </w:rPr>
            </w:pPr>
          </w:p>
        </w:tc>
        <w:tc>
          <w:tcPr>
            <w:tcW w:w="669" w:type="dxa"/>
            <w:shd w:val="clear" w:color="auto" w:fill="auto"/>
            <w:noWrap/>
            <w:vAlign w:val="center"/>
          </w:tcPr>
          <w:p w14:paraId="4441E432"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138" w:type="dxa"/>
            <w:shd w:val="clear" w:color="auto" w:fill="auto"/>
            <w:noWrap/>
            <w:vAlign w:val="center"/>
          </w:tcPr>
          <w:p w14:paraId="2EDC3C7D"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2267" w:type="dxa"/>
            <w:shd w:val="clear" w:color="auto" w:fill="auto"/>
            <w:noWrap/>
            <w:vAlign w:val="center"/>
          </w:tcPr>
          <w:p w14:paraId="52095795"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c>
          <w:tcPr>
            <w:tcW w:w="1275" w:type="dxa"/>
            <w:shd w:val="clear" w:color="auto" w:fill="auto"/>
            <w:noWrap/>
            <w:vAlign w:val="center"/>
          </w:tcPr>
          <w:p w14:paraId="4B71D69B" w14:textId="77777777" w:rsidR="00A40F00" w:rsidRPr="002A2ED9" w:rsidRDefault="00A40F00" w:rsidP="002A2ED9">
            <w:pPr>
              <w:spacing w:after="0" w:line="240" w:lineRule="auto"/>
              <w:jc w:val="center"/>
              <w:rPr>
                <w:rFonts w:ascii="Calibri" w:eastAsia="Times New Roman" w:hAnsi="Calibri" w:cs="Calibri"/>
                <w:b/>
                <w:bCs/>
                <w:color w:val="000000"/>
                <w:sz w:val="20"/>
                <w:szCs w:val="20"/>
                <w:lang w:val="en-US"/>
              </w:rPr>
            </w:pPr>
          </w:p>
        </w:tc>
      </w:tr>
    </w:tbl>
    <w:p w14:paraId="74F60324" w14:textId="77777777" w:rsidR="004730C3" w:rsidRDefault="004730C3" w:rsidP="003135EC">
      <w:pPr>
        <w:spacing w:after="0" w:line="240" w:lineRule="auto"/>
        <w:jc w:val="both"/>
        <w:rPr>
          <w:rFonts w:cstheme="minorHAnsi"/>
          <w:b/>
          <w:bCs/>
          <w:color w:val="548DD4" w:themeColor="text2" w:themeTint="99"/>
          <w:sz w:val="20"/>
          <w:szCs w:val="20"/>
          <w:u w:val="single"/>
          <w:lang w:val="en-US"/>
        </w:rPr>
      </w:pPr>
    </w:p>
    <w:p w14:paraId="08972D39" w14:textId="283C04F0"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lastRenderedPageBreak/>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71663161" w14:textId="061E8D55" w:rsidR="00640F11" w:rsidRDefault="00E92CB5" w:rsidP="00640F11">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lastRenderedPageBreak/>
        <w:t>ANNEX 3: DETAILED SPECIFICATIONS</w:t>
      </w:r>
    </w:p>
    <w:p w14:paraId="6BE189AE" w14:textId="2A365967" w:rsidR="00A40F00" w:rsidRDefault="00A40F00" w:rsidP="00B93FEB">
      <w:pPr>
        <w:pStyle w:val="Heading2"/>
        <w:rPr>
          <w:rFonts w:asciiTheme="minorHAnsi" w:hAnsiTheme="minorHAnsi" w:cstheme="minorHAnsi"/>
          <w:color w:val="000000" w:themeColor="text1"/>
        </w:rPr>
      </w:pPr>
      <w:bookmarkStart w:id="6" w:name="_2s8eyo1" w:colFirst="0" w:colLast="0"/>
      <w:bookmarkStart w:id="7" w:name="_Toc459799310"/>
      <w:bookmarkEnd w:id="6"/>
      <w:r w:rsidRPr="00A40F00">
        <w:rPr>
          <w:rFonts w:asciiTheme="minorHAnsi" w:hAnsiTheme="minorHAnsi" w:cstheme="minorHAnsi"/>
          <w:color w:val="000000" w:themeColor="text1"/>
        </w:rPr>
        <w:t>As per annexed TOR</w:t>
      </w:r>
    </w:p>
    <w:p w14:paraId="02109C17" w14:textId="0729211A" w:rsidR="00A40F00" w:rsidRDefault="00A40F00" w:rsidP="00A40F00"/>
    <w:p w14:paraId="4FE7867C" w14:textId="032A7EAD" w:rsidR="00A40F00" w:rsidRDefault="00A40F00" w:rsidP="00A40F00"/>
    <w:p w14:paraId="104A7310" w14:textId="46F27AB3" w:rsidR="00A40F00" w:rsidRDefault="00A40F00" w:rsidP="00A40F00"/>
    <w:p w14:paraId="5F5A0C6D" w14:textId="51DF3BB9" w:rsidR="00A40F00" w:rsidRDefault="00A40F00" w:rsidP="00A40F00"/>
    <w:p w14:paraId="7C031680" w14:textId="48F0CD1D" w:rsidR="00A40F00" w:rsidRDefault="00A40F00" w:rsidP="00A40F00"/>
    <w:p w14:paraId="58F9A18F" w14:textId="3F8957C2" w:rsidR="00A40F00" w:rsidRDefault="00A40F00" w:rsidP="00A40F00"/>
    <w:p w14:paraId="12F88FA3" w14:textId="38E52271" w:rsidR="00A40F00" w:rsidRDefault="00A40F00" w:rsidP="00A40F00"/>
    <w:p w14:paraId="49670AD6" w14:textId="43AEBC0A" w:rsidR="00A40F00" w:rsidRDefault="00A40F00" w:rsidP="00A40F00"/>
    <w:p w14:paraId="217098F6" w14:textId="2B542504" w:rsidR="00A40F00" w:rsidRDefault="00A40F00" w:rsidP="00A40F00"/>
    <w:p w14:paraId="561CE50A" w14:textId="0E073CD2" w:rsidR="00A40F00" w:rsidRDefault="00A40F00" w:rsidP="00A40F00"/>
    <w:p w14:paraId="46B5100B" w14:textId="626C5BED" w:rsidR="00A40F00" w:rsidRDefault="00A40F00" w:rsidP="00A40F00"/>
    <w:p w14:paraId="720F8609" w14:textId="2FE51394" w:rsidR="00A40F00" w:rsidRDefault="00A40F00" w:rsidP="00A40F00"/>
    <w:p w14:paraId="022CE6BE" w14:textId="2E641950" w:rsidR="00A40F00" w:rsidRDefault="00A40F00" w:rsidP="00A40F00"/>
    <w:p w14:paraId="512BE502" w14:textId="483799A1" w:rsidR="00A40F00" w:rsidRDefault="00A40F00" w:rsidP="00A40F00"/>
    <w:p w14:paraId="180D8045" w14:textId="2931B445" w:rsidR="00A40F00" w:rsidRDefault="00A40F00" w:rsidP="00A40F00"/>
    <w:p w14:paraId="72DD7788" w14:textId="280F4838" w:rsidR="00A40F00" w:rsidRDefault="00A40F00" w:rsidP="00A40F00"/>
    <w:p w14:paraId="6D5261FC" w14:textId="0579D3FE" w:rsidR="00A40F00" w:rsidRDefault="00A40F00" w:rsidP="00A40F00"/>
    <w:p w14:paraId="2DC66372" w14:textId="1F47953D" w:rsidR="00A40F00" w:rsidRDefault="00A40F00" w:rsidP="00A40F00"/>
    <w:p w14:paraId="3228E44B" w14:textId="0740950E" w:rsidR="00A40F00" w:rsidRDefault="00A40F00" w:rsidP="00A40F00"/>
    <w:p w14:paraId="53A30098" w14:textId="0B9A5300" w:rsidR="00A40F00" w:rsidRDefault="00A40F00" w:rsidP="00A40F00"/>
    <w:p w14:paraId="3A6ED947" w14:textId="305B2503" w:rsidR="00A40F00" w:rsidRDefault="00A40F00" w:rsidP="00A40F00"/>
    <w:p w14:paraId="33A7A581" w14:textId="33A63F7C" w:rsidR="00A40F00" w:rsidRDefault="00A40F00" w:rsidP="00A40F00"/>
    <w:p w14:paraId="0BDE3F9B" w14:textId="77777777" w:rsidR="00A40F00" w:rsidRDefault="00A40F00" w:rsidP="00A40F00"/>
    <w:p w14:paraId="3B25DB7A" w14:textId="77777777" w:rsidR="00A40F00" w:rsidRPr="00A40F00" w:rsidRDefault="00A40F00" w:rsidP="00A40F00"/>
    <w:p w14:paraId="5607DD3D" w14:textId="339B6795" w:rsidR="00BA7123" w:rsidRPr="00537CDE" w:rsidRDefault="00707CD1" w:rsidP="00B93FEB">
      <w:pPr>
        <w:pStyle w:val="Heading2"/>
        <w:rPr>
          <w:rFonts w:asciiTheme="minorHAnsi" w:hAnsiTheme="minorHAnsi" w:cstheme="minorHAnsi"/>
          <w:u w:val="single"/>
        </w:rPr>
      </w:pPr>
      <w:r w:rsidRPr="00537CDE">
        <w:rPr>
          <w:rFonts w:asciiTheme="minorHAnsi" w:hAnsiTheme="minorHAnsi" w:cstheme="minorHAnsi"/>
          <w:u w:val="single"/>
        </w:rPr>
        <w:lastRenderedPageBreak/>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4F4852E9" w:rsidR="006C5B70" w:rsidRPr="00F30982" w:rsidRDefault="006C5B70" w:rsidP="00A40F00">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814A32">
              <w:rPr>
                <w:rFonts w:cstheme="minorHAnsi"/>
                <w:b/>
                <w:bCs/>
                <w:sz w:val="20"/>
                <w:szCs w:val="20"/>
                <w:u w:val="single"/>
                <w:lang w:val="en-US"/>
              </w:rPr>
              <w:t>3</w:t>
            </w:r>
            <w:r w:rsidR="00A40F00">
              <w:rPr>
                <w:rFonts w:cstheme="minorHAnsi"/>
                <w:b/>
                <w:bCs/>
                <w:sz w:val="20"/>
                <w:szCs w:val="20"/>
                <w:u w:val="single"/>
                <w:lang w:val="en-US"/>
              </w:rPr>
              <w:t xml:space="preserve">2 </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lastRenderedPageBreak/>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F30982">
        <w:rPr>
          <w:rFonts w:cstheme="minorHAnsi"/>
          <w:sz w:val="20"/>
          <w:szCs w:val="20"/>
          <w:highlight w:val="yellow"/>
        </w:rPr>
        <w:lastRenderedPageBreak/>
        <w:t xml:space="preserve">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F30982">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E3EFF0E"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w:t>
            </w:r>
            <w:r w:rsidR="00550CCF">
              <w:rPr>
                <w:rFonts w:cstheme="minorHAnsi"/>
                <w:b/>
                <w:highlight w:val="yellow"/>
                <w:u w:val="single"/>
              </w:rPr>
              <w:t xml:space="preserve">Commercial Circular </w:t>
            </w:r>
            <w:r w:rsidR="00B96C48" w:rsidRPr="00F30982">
              <w:rPr>
                <w:rFonts w:cstheme="minorHAnsi"/>
                <w:b/>
                <w:highlight w:val="yellow"/>
                <w:u w:val="single"/>
              </w:rPr>
              <w:t>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A9D2FA" w16cex:dateUtc="2024-06-06T09:24:00Z"/>
  <w16cex:commentExtensible w16cex:durableId="05CD561F" w16cex:dateUtc="2024-06-06T09:24:00Z"/>
  <w16cex:commentExtensible w16cex:durableId="3B160AAC" w16cex:dateUtc="2024-06-06T09:24:00Z"/>
  <w16cex:commentExtensible w16cex:durableId="1D024B60" w16cex:dateUtc="2024-06-06T09:24:00Z"/>
  <w16cex:commentExtensible w16cex:durableId="0CCB2EC0" w16cex:dateUtc="2024-06-06T09:28:00Z"/>
  <w16cex:commentExtensible w16cex:durableId="1094819B" w16cex:dateUtc="2024-06-06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7BCA3" w16cid:durableId="51A9D2FA"/>
  <w16cid:commentId w16cid:paraId="464B4E60" w16cid:durableId="05CD561F"/>
  <w16cid:commentId w16cid:paraId="773F3E87" w16cid:durableId="3B160AAC"/>
  <w16cid:commentId w16cid:paraId="485F729D" w16cid:durableId="1D024B60"/>
  <w16cid:commentId w16cid:paraId="03C2C392" w16cid:durableId="0CCB2EC0"/>
  <w16cid:commentId w16cid:paraId="734D26C3" w16cid:durableId="109481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D107" w14:textId="77777777" w:rsidR="0040294F" w:rsidRDefault="0040294F" w:rsidP="00ED3A74">
      <w:pPr>
        <w:spacing w:after="0" w:line="240" w:lineRule="auto"/>
      </w:pPr>
      <w:r>
        <w:separator/>
      </w:r>
    </w:p>
  </w:endnote>
  <w:endnote w:type="continuationSeparator" w:id="0">
    <w:p w14:paraId="58698486" w14:textId="77777777" w:rsidR="0040294F" w:rsidRDefault="0040294F"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6E45" w14:textId="77777777" w:rsidR="00A40F00" w:rsidRDefault="00A40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03EBA3E" w:rsidR="00363F22" w:rsidRDefault="00363F2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954ECB">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954ECB">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59D2" w14:textId="77777777" w:rsidR="00A40F00" w:rsidRDefault="00A4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0724" w14:textId="77777777" w:rsidR="0040294F" w:rsidRDefault="0040294F" w:rsidP="00ED3A74">
      <w:pPr>
        <w:spacing w:after="0" w:line="240" w:lineRule="auto"/>
      </w:pPr>
      <w:r>
        <w:separator/>
      </w:r>
    </w:p>
  </w:footnote>
  <w:footnote w:type="continuationSeparator" w:id="0">
    <w:p w14:paraId="42CCD76A" w14:textId="77777777" w:rsidR="0040294F" w:rsidRDefault="0040294F"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42B7" w14:textId="77777777" w:rsidR="00A40F00" w:rsidRDefault="00A40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363F22" w:rsidRDefault="00363F2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363F22" w:rsidRPr="00490645" w:rsidRDefault="00363F22"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363F22" w:rsidRPr="00490645" w:rsidRDefault="00363F22"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EFB8FBE" w:rsidR="00363F22" w:rsidRDefault="00363F22" w:rsidP="00363F22">
    <w:pPr>
      <w:pStyle w:val="Header"/>
      <w:jc w:val="right"/>
      <w:rPr>
        <w:noProof/>
      </w:rPr>
    </w:pPr>
    <w:r>
      <w:t xml:space="preserve">Tender reference: </w:t>
    </w:r>
    <w:r>
      <w:rPr>
        <w:noProof/>
      </w:rPr>
      <w:t>2024-032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7DEE" w14:textId="77777777" w:rsidR="00A40F00" w:rsidRDefault="00A40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958C7"/>
    <w:multiLevelType w:val="hybridMultilevel"/>
    <w:tmpl w:val="1D301F62"/>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7732"/>
    <w:multiLevelType w:val="hybridMultilevel"/>
    <w:tmpl w:val="3968B7AC"/>
    <w:lvl w:ilvl="0" w:tplc="024A40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6DE2"/>
    <w:multiLevelType w:val="hybridMultilevel"/>
    <w:tmpl w:val="8C94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19347B"/>
    <w:multiLevelType w:val="hybridMultilevel"/>
    <w:tmpl w:val="7F1CB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566549"/>
    <w:multiLevelType w:val="hybridMultilevel"/>
    <w:tmpl w:val="841A49FE"/>
    <w:lvl w:ilvl="0" w:tplc="0DE69268">
      <w:start w:val="1"/>
      <w:numFmt w:val="decimal"/>
      <w:lvlText w:val="1.%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0D7247"/>
    <w:multiLevelType w:val="hybridMultilevel"/>
    <w:tmpl w:val="DA7A03D4"/>
    <w:lvl w:ilvl="0" w:tplc="2A0A0592">
      <w:numFmt w:val="bullet"/>
      <w:lvlText w:val="-"/>
      <w:lvlJc w:val="left"/>
      <w:pPr>
        <w:ind w:left="45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724DD"/>
    <w:multiLevelType w:val="hybridMultilevel"/>
    <w:tmpl w:val="E452A89E"/>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14"/>
  </w:num>
  <w:num w:numId="6">
    <w:abstractNumId w:val="11"/>
  </w:num>
  <w:num w:numId="7">
    <w:abstractNumId w:val="8"/>
  </w:num>
  <w:num w:numId="8">
    <w:abstractNumId w:val="16"/>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9"/>
  </w:num>
  <w:num w:numId="19">
    <w:abstractNumId w:val="15"/>
  </w:num>
  <w:num w:numId="20">
    <w:abstractNumId w:val="13"/>
  </w:num>
  <w:num w:numId="21">
    <w:abstractNumId w:val="7"/>
  </w:num>
  <w:num w:numId="22">
    <w:abstractNumId w:val="1"/>
  </w:num>
  <w:num w:numId="23">
    <w:abstractNumId w:val="12"/>
  </w:num>
  <w:num w:numId="24">
    <w:abstractNumId w:val="2"/>
  </w:num>
  <w:num w:numId="25">
    <w:abstractNumId w:val="6"/>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17191"/>
    <w:rsid w:val="000203C6"/>
    <w:rsid w:val="000204A2"/>
    <w:rsid w:val="00020D0A"/>
    <w:rsid w:val="00021239"/>
    <w:rsid w:val="00021F14"/>
    <w:rsid w:val="00022CC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5C3C"/>
    <w:rsid w:val="000A782C"/>
    <w:rsid w:val="000B025E"/>
    <w:rsid w:val="000B2798"/>
    <w:rsid w:val="000B6790"/>
    <w:rsid w:val="000C0739"/>
    <w:rsid w:val="000C229E"/>
    <w:rsid w:val="000C2736"/>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1031"/>
    <w:rsid w:val="00121887"/>
    <w:rsid w:val="00121C53"/>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2ED9"/>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2F6FD0"/>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44C6"/>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38"/>
    <w:rsid w:val="003555E2"/>
    <w:rsid w:val="00356A1D"/>
    <w:rsid w:val="00360672"/>
    <w:rsid w:val="00362226"/>
    <w:rsid w:val="00363539"/>
    <w:rsid w:val="00363F22"/>
    <w:rsid w:val="00367268"/>
    <w:rsid w:val="00367EB2"/>
    <w:rsid w:val="003710E2"/>
    <w:rsid w:val="00374CF8"/>
    <w:rsid w:val="00375ADF"/>
    <w:rsid w:val="00380991"/>
    <w:rsid w:val="00381C27"/>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0DF1"/>
    <w:rsid w:val="003F10F4"/>
    <w:rsid w:val="003F332C"/>
    <w:rsid w:val="003F4EC6"/>
    <w:rsid w:val="003F5C06"/>
    <w:rsid w:val="003F77A0"/>
    <w:rsid w:val="003F7C72"/>
    <w:rsid w:val="004012BF"/>
    <w:rsid w:val="00401BC8"/>
    <w:rsid w:val="0040294F"/>
    <w:rsid w:val="00403E51"/>
    <w:rsid w:val="00405126"/>
    <w:rsid w:val="00405AB8"/>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2697"/>
    <w:rsid w:val="00422AEC"/>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30C3"/>
    <w:rsid w:val="00474E5A"/>
    <w:rsid w:val="004752F5"/>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0431"/>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0CCF"/>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87644"/>
    <w:rsid w:val="00591907"/>
    <w:rsid w:val="00591D8A"/>
    <w:rsid w:val="0059264D"/>
    <w:rsid w:val="00593645"/>
    <w:rsid w:val="005976D8"/>
    <w:rsid w:val="00597D51"/>
    <w:rsid w:val="005A03C1"/>
    <w:rsid w:val="005A1197"/>
    <w:rsid w:val="005A1C70"/>
    <w:rsid w:val="005A1D5C"/>
    <w:rsid w:val="005A2036"/>
    <w:rsid w:val="005A21A8"/>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0F11"/>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207"/>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7E0"/>
    <w:rsid w:val="007E1D8E"/>
    <w:rsid w:val="007E20D0"/>
    <w:rsid w:val="007E2A3F"/>
    <w:rsid w:val="007E2E8B"/>
    <w:rsid w:val="007E30A6"/>
    <w:rsid w:val="007E3307"/>
    <w:rsid w:val="007E4151"/>
    <w:rsid w:val="007E452E"/>
    <w:rsid w:val="007E5F33"/>
    <w:rsid w:val="007E624E"/>
    <w:rsid w:val="007E7682"/>
    <w:rsid w:val="007E7D8C"/>
    <w:rsid w:val="007F2B0B"/>
    <w:rsid w:val="00802273"/>
    <w:rsid w:val="00803416"/>
    <w:rsid w:val="00804864"/>
    <w:rsid w:val="00805FD7"/>
    <w:rsid w:val="008063A0"/>
    <w:rsid w:val="0080679D"/>
    <w:rsid w:val="0080754A"/>
    <w:rsid w:val="00810E71"/>
    <w:rsid w:val="008110C5"/>
    <w:rsid w:val="00812BBA"/>
    <w:rsid w:val="00814A32"/>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1DF"/>
    <w:rsid w:val="00947C79"/>
    <w:rsid w:val="00947EBB"/>
    <w:rsid w:val="00952855"/>
    <w:rsid w:val="00952880"/>
    <w:rsid w:val="0095397C"/>
    <w:rsid w:val="00954ECB"/>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9575E"/>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251B"/>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26A37"/>
    <w:rsid w:val="00A30683"/>
    <w:rsid w:val="00A3405A"/>
    <w:rsid w:val="00A34678"/>
    <w:rsid w:val="00A34769"/>
    <w:rsid w:val="00A3551F"/>
    <w:rsid w:val="00A35C73"/>
    <w:rsid w:val="00A36AB4"/>
    <w:rsid w:val="00A36DF7"/>
    <w:rsid w:val="00A37154"/>
    <w:rsid w:val="00A40F00"/>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0F0D"/>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6105"/>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473B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6730F"/>
    <w:rsid w:val="00B71163"/>
    <w:rsid w:val="00B717B3"/>
    <w:rsid w:val="00B7189C"/>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16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3891"/>
    <w:rsid w:val="00C06DA1"/>
    <w:rsid w:val="00C06EDD"/>
    <w:rsid w:val="00C07FB7"/>
    <w:rsid w:val="00C11962"/>
    <w:rsid w:val="00C1364D"/>
    <w:rsid w:val="00C152E2"/>
    <w:rsid w:val="00C15EB5"/>
    <w:rsid w:val="00C17150"/>
    <w:rsid w:val="00C173D9"/>
    <w:rsid w:val="00C17534"/>
    <w:rsid w:val="00C2067C"/>
    <w:rsid w:val="00C20745"/>
    <w:rsid w:val="00C21479"/>
    <w:rsid w:val="00C22076"/>
    <w:rsid w:val="00C227D6"/>
    <w:rsid w:val="00C23182"/>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5A5"/>
    <w:rsid w:val="00D44C37"/>
    <w:rsid w:val="00D46A35"/>
    <w:rsid w:val="00D470EF"/>
    <w:rsid w:val="00D5105D"/>
    <w:rsid w:val="00D54ED4"/>
    <w:rsid w:val="00D564D8"/>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27F7"/>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3A9"/>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1F57"/>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47"/>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5B12"/>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customStyle="1" w:styleId="Pa39">
    <w:name w:val="Pa39"/>
    <w:basedOn w:val="Default"/>
    <w:next w:val="Default"/>
    <w:uiPriority w:val="99"/>
    <w:rsid w:val="004752F5"/>
    <w:pPr>
      <w:spacing w:line="201" w:lineRule="atLeast"/>
    </w:pPr>
    <w:rPr>
      <w:rFonts w:ascii="Myriad Pro Cond" w:eastAsiaTheme="minorHAnsi" w:hAnsi="Myriad Pro Cond" w:cstheme="minorBidi"/>
      <w:color w:val="auto"/>
      <w:lang w:val="en-US" w:eastAsia="en-US"/>
    </w:rPr>
  </w:style>
  <w:style w:type="character" w:customStyle="1" w:styleId="A9">
    <w:name w:val="A9"/>
    <w:uiPriority w:val="99"/>
    <w:rsid w:val="004752F5"/>
    <w:rPr>
      <w:rFonts w:cs="Myriad Pro Cond"/>
      <w:color w:val="000000"/>
      <w:sz w:val="13"/>
      <w:szCs w:val="13"/>
    </w:rPr>
  </w:style>
  <w:style w:type="paragraph" w:styleId="Revision">
    <w:name w:val="Revision"/>
    <w:hidden/>
    <w:uiPriority w:val="99"/>
    <w:semiHidden/>
    <w:rsid w:val="00381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26300989">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6788837">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07812112">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08988784">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0448824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5605286">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0354198">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33678807">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8485572">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428752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9445655">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2077304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424746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080F49E4-1535-4DF7-8B17-C9126204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7665</Words>
  <Characters>43693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4</cp:revision>
  <cp:lastPrinted>2023-10-04T07:50:00Z</cp:lastPrinted>
  <dcterms:created xsi:type="dcterms:W3CDTF">2024-06-10T06:15:00Z</dcterms:created>
  <dcterms:modified xsi:type="dcterms:W3CDTF">2024-06-10T06:16:00Z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